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3B1B18">
      <w:pPr>
        <w:pStyle w:val="2"/>
        <w:bidi w:val="0"/>
        <w:jc w:val="center"/>
        <w:rPr>
          <w:rFonts w:hint="eastAsia"/>
          <w:sz w:val="32"/>
          <w:szCs w:val="32"/>
        </w:rPr>
      </w:pPr>
      <w:r>
        <w:rPr>
          <w:rFonts w:hint="eastAsia"/>
          <w:sz w:val="32"/>
          <w:szCs w:val="32"/>
          <w:lang w:val="en-US" w:eastAsia="zh-CN"/>
        </w:rPr>
        <w:t>广东隆达铝业</w:t>
      </w:r>
      <w:r>
        <w:rPr>
          <w:rFonts w:hint="eastAsia"/>
          <w:sz w:val="32"/>
          <w:szCs w:val="32"/>
          <w:lang w:eastAsia="zh-CN"/>
        </w:rPr>
        <w:t>有限公司</w:t>
      </w:r>
      <w:r>
        <w:rPr>
          <w:rFonts w:hint="eastAsia"/>
          <w:sz w:val="32"/>
          <w:szCs w:val="32"/>
        </w:rPr>
        <w:t>人权影响评估报告</w:t>
      </w:r>
    </w:p>
    <w:p w14:paraId="3619E3B4">
      <w:pPr>
        <w:numPr>
          <w:ilvl w:val="0"/>
          <w:numId w:val="1"/>
        </w:numPr>
        <w:rPr>
          <w:rFonts w:ascii="宋体" w:hAnsi="宋体" w:eastAsia="宋体" w:cs="宋体"/>
          <w:b/>
          <w:bCs/>
          <w:sz w:val="28"/>
          <w:szCs w:val="28"/>
        </w:rPr>
      </w:pPr>
      <w:r>
        <w:rPr>
          <w:rFonts w:ascii="宋体" w:hAnsi="宋体" w:eastAsia="宋体" w:cs="宋体"/>
          <w:b/>
          <w:bCs/>
          <w:sz w:val="28"/>
          <w:szCs w:val="28"/>
        </w:rPr>
        <w:t xml:space="preserve">评估简述 </w:t>
      </w:r>
    </w:p>
    <w:p w14:paraId="15DC89AC">
      <w:pPr>
        <w:numPr>
          <w:ilvl w:val="0"/>
          <w:numId w:val="0"/>
        </w:numPr>
        <w:ind w:firstLine="560" w:firstLineChars="200"/>
        <w:rPr>
          <w:rFonts w:ascii="宋体" w:hAnsi="宋体" w:eastAsia="宋体" w:cs="宋体"/>
          <w:sz w:val="28"/>
          <w:szCs w:val="28"/>
          <w:highlight w:val="none"/>
        </w:rPr>
      </w:pPr>
      <w:r>
        <w:rPr>
          <w:rFonts w:hint="eastAsia" w:ascii="宋体" w:hAnsi="宋体" w:eastAsia="宋体" w:cs="宋体"/>
          <w:sz w:val="28"/>
          <w:szCs w:val="28"/>
          <w:highlight w:val="none"/>
          <w:lang w:val="en-US" w:eastAsia="zh-CN"/>
        </w:rPr>
        <w:t>广东隆达铝业有限公司</w:t>
      </w:r>
      <w:r>
        <w:rPr>
          <w:rFonts w:hint="eastAsia" w:ascii="宋体" w:hAnsi="宋体" w:eastAsia="宋体" w:cs="宋体"/>
          <w:sz w:val="28"/>
          <w:szCs w:val="28"/>
          <w:highlight w:val="none"/>
        </w:rPr>
        <w:t>成立于</w:t>
      </w:r>
      <w:r>
        <w:rPr>
          <w:rFonts w:hint="eastAsia" w:ascii="宋体" w:hAnsi="宋体" w:eastAsia="宋体" w:cs="宋体"/>
          <w:sz w:val="28"/>
          <w:szCs w:val="28"/>
          <w:highlight w:val="none"/>
          <w:lang w:val="en-US" w:eastAsia="zh-CN"/>
        </w:rPr>
        <w:t>2006</w:t>
      </w:r>
      <w:r>
        <w:rPr>
          <w:rFonts w:hint="eastAsia" w:ascii="宋体" w:hAnsi="宋体" w:eastAsia="宋体" w:cs="宋体"/>
          <w:sz w:val="28"/>
          <w:szCs w:val="28"/>
          <w:highlight w:val="none"/>
        </w:rPr>
        <w:t>年，公司年产能1</w:t>
      </w:r>
      <w:r>
        <w:rPr>
          <w:rFonts w:hint="eastAsia" w:ascii="宋体" w:hAnsi="宋体" w:eastAsia="宋体" w:cs="宋体"/>
          <w:sz w:val="28"/>
          <w:szCs w:val="28"/>
          <w:highlight w:val="none"/>
          <w:lang w:val="en-US" w:eastAsia="zh-CN"/>
        </w:rPr>
        <w:t>0</w:t>
      </w:r>
      <w:bookmarkStart w:id="0" w:name="_GoBack"/>
      <w:bookmarkEnd w:id="0"/>
      <w:r>
        <w:rPr>
          <w:rFonts w:hint="eastAsia" w:ascii="宋体" w:hAnsi="宋体" w:eastAsia="宋体" w:cs="宋体"/>
          <w:sz w:val="28"/>
          <w:szCs w:val="28"/>
          <w:highlight w:val="none"/>
        </w:rPr>
        <w:t>万吨铝合锭和铝合金液，</w:t>
      </w:r>
      <w:r>
        <w:rPr>
          <w:rFonts w:hint="eastAsia" w:ascii="宋体" w:hAnsi="宋体" w:eastAsia="宋体" w:cs="宋体"/>
          <w:sz w:val="28"/>
          <w:szCs w:val="28"/>
          <w:highlight w:val="none"/>
          <w:lang w:val="en-US" w:eastAsia="zh-CN"/>
        </w:rPr>
        <w:t>广东隆达</w:t>
      </w:r>
      <w:r>
        <w:rPr>
          <w:rFonts w:hint="eastAsia" w:ascii="宋体" w:hAnsi="宋体" w:eastAsia="宋体" w:cs="宋体"/>
          <w:sz w:val="28"/>
          <w:szCs w:val="28"/>
          <w:highlight w:val="none"/>
        </w:rPr>
        <w:t>在环境、社会和治理（ESG）方面不遗余力，坚持走“绿色铝一体化”的发展道路，构建节能减排、清洁生产、循环利用为一体的绿色发展模式。</w:t>
      </w:r>
      <w:r>
        <w:rPr>
          <w:rFonts w:hint="eastAsia" w:ascii="宋体" w:hAnsi="宋体" w:eastAsia="宋体" w:cs="宋体"/>
          <w:sz w:val="28"/>
          <w:szCs w:val="28"/>
          <w:highlight w:val="none"/>
          <w:lang w:eastAsia="zh-CN"/>
        </w:rPr>
        <w:t>公司</w:t>
      </w:r>
      <w:r>
        <w:rPr>
          <w:rFonts w:ascii="宋体" w:hAnsi="宋体" w:eastAsia="宋体" w:cs="宋体"/>
          <w:sz w:val="28"/>
          <w:szCs w:val="28"/>
          <w:highlight w:val="none"/>
        </w:rPr>
        <w:t>有义务“按照适用法律的要求尊重国际公认的人权 ”</w:t>
      </w:r>
      <w:r>
        <w:rPr>
          <w:rFonts w:hint="eastAsia" w:ascii="宋体" w:hAnsi="宋体" w:eastAsia="宋体" w:cs="宋体"/>
          <w:sz w:val="28"/>
          <w:szCs w:val="28"/>
          <w:highlight w:val="none"/>
          <w:lang w:eastAsia="zh-CN"/>
        </w:rPr>
        <w:t>。</w:t>
      </w:r>
      <w:r>
        <w:rPr>
          <w:rFonts w:ascii="宋体" w:hAnsi="宋体" w:eastAsia="宋体" w:cs="宋体"/>
          <w:sz w:val="28"/>
          <w:szCs w:val="28"/>
          <w:highlight w:val="none"/>
        </w:rPr>
        <w:t>2023年8月，</w:t>
      </w:r>
      <w:r>
        <w:rPr>
          <w:rFonts w:hint="eastAsia" w:ascii="宋体" w:hAnsi="宋体" w:eastAsia="宋体" w:cs="宋体"/>
          <w:sz w:val="28"/>
          <w:szCs w:val="28"/>
          <w:highlight w:val="none"/>
          <w:lang w:val="en-US" w:eastAsia="zh-CN"/>
        </w:rPr>
        <w:t>广东隆达铝业</w:t>
      </w:r>
      <w:r>
        <w:rPr>
          <w:rFonts w:hint="eastAsia" w:ascii="宋体" w:hAnsi="宋体" w:eastAsia="宋体" w:cs="宋体"/>
          <w:sz w:val="28"/>
          <w:szCs w:val="28"/>
          <w:highlight w:val="none"/>
          <w:lang w:eastAsia="zh-CN"/>
        </w:rPr>
        <w:t>有限公司</w:t>
      </w:r>
      <w:r>
        <w:rPr>
          <w:rFonts w:ascii="宋体" w:hAnsi="宋体" w:eastAsia="宋体" w:cs="宋体"/>
          <w:sz w:val="28"/>
          <w:szCs w:val="28"/>
          <w:highlight w:val="none"/>
        </w:rPr>
        <w:t xml:space="preserve">按以下流程开展人权影响评估。 </w:t>
      </w:r>
    </w:p>
    <w:p w14:paraId="7A50BA35">
      <w:pPr>
        <w:numPr>
          <w:ilvl w:val="0"/>
          <w:numId w:val="0"/>
        </w:numPr>
        <w:rPr>
          <w:rFonts w:ascii="宋体" w:hAnsi="宋体" w:eastAsia="宋体" w:cs="宋体"/>
          <w:sz w:val="28"/>
          <w:szCs w:val="28"/>
          <w:highlight w:val="none"/>
        </w:rPr>
      </w:pPr>
      <w:r>
        <w:rPr>
          <w:rFonts w:hint="eastAsia" w:ascii="宋体" w:hAnsi="宋体" w:eastAsia="宋体" w:cs="宋体"/>
          <w:sz w:val="28"/>
          <w:szCs w:val="28"/>
          <w:highlight w:val="none"/>
          <w:lang w:val="en-US" w:eastAsia="zh-CN"/>
        </w:rPr>
        <w:t>广东隆达铝业</w:t>
      </w:r>
      <w:r>
        <w:rPr>
          <w:rFonts w:hint="eastAsia" w:ascii="宋体" w:hAnsi="宋体" w:eastAsia="宋体" w:cs="宋体"/>
          <w:sz w:val="28"/>
          <w:szCs w:val="28"/>
          <w:highlight w:val="none"/>
          <w:lang w:eastAsia="zh-CN"/>
        </w:rPr>
        <w:t>有限公司</w:t>
      </w:r>
      <w:r>
        <w:rPr>
          <w:rFonts w:ascii="宋体" w:hAnsi="宋体" w:eastAsia="宋体" w:cs="宋体"/>
          <w:sz w:val="28"/>
          <w:szCs w:val="28"/>
          <w:highlight w:val="none"/>
        </w:rPr>
        <w:t>人权影响评估范围限定在以下三个领域：</w:t>
      </w:r>
    </w:p>
    <w:p w14:paraId="2064A179">
      <w:pPr>
        <w:numPr>
          <w:ilvl w:val="0"/>
          <w:numId w:val="2"/>
        </w:numPr>
        <w:ind w:left="700" w:leftChars="0" w:firstLine="0" w:firstLineChars="0"/>
        <w:rPr>
          <w:rFonts w:ascii="宋体" w:hAnsi="宋体" w:eastAsia="宋体" w:cs="宋体"/>
          <w:sz w:val="28"/>
          <w:szCs w:val="28"/>
          <w:highlight w:val="none"/>
        </w:rPr>
      </w:pPr>
      <w:r>
        <w:rPr>
          <w:rFonts w:ascii="宋体" w:hAnsi="宋体" w:eastAsia="宋体" w:cs="宋体"/>
          <w:sz w:val="28"/>
          <w:szCs w:val="28"/>
          <w:highlight w:val="none"/>
        </w:rPr>
        <w:t xml:space="preserve">人力资源管理 </w:t>
      </w:r>
    </w:p>
    <w:p w14:paraId="593D99A2">
      <w:pPr>
        <w:numPr>
          <w:ilvl w:val="0"/>
          <w:numId w:val="2"/>
        </w:numPr>
        <w:ind w:left="700" w:leftChars="0" w:firstLine="0" w:firstLineChars="0"/>
        <w:rPr>
          <w:rFonts w:ascii="宋体" w:hAnsi="宋体" w:eastAsia="宋体" w:cs="宋体"/>
          <w:sz w:val="28"/>
          <w:szCs w:val="28"/>
          <w:highlight w:val="none"/>
        </w:rPr>
      </w:pPr>
      <w:r>
        <w:rPr>
          <w:rFonts w:ascii="宋体" w:hAnsi="宋体" w:eastAsia="宋体" w:cs="宋体"/>
          <w:sz w:val="28"/>
          <w:szCs w:val="28"/>
          <w:highlight w:val="none"/>
        </w:rPr>
        <w:t>采购与供应</w:t>
      </w:r>
      <w:r>
        <w:rPr>
          <w:rFonts w:hint="eastAsia" w:ascii="宋体" w:hAnsi="宋体" w:eastAsia="宋体" w:cs="宋体"/>
          <w:sz w:val="28"/>
          <w:szCs w:val="28"/>
          <w:highlight w:val="none"/>
          <w:lang w:val="en-US" w:eastAsia="zh-CN"/>
        </w:rPr>
        <w:t>商</w:t>
      </w:r>
    </w:p>
    <w:p w14:paraId="7F718267">
      <w:pPr>
        <w:numPr>
          <w:ilvl w:val="0"/>
          <w:numId w:val="2"/>
        </w:numPr>
        <w:ind w:left="700" w:leftChars="0" w:firstLine="0" w:firstLineChars="0"/>
        <w:rPr>
          <w:rFonts w:ascii="宋体" w:hAnsi="宋体" w:eastAsia="宋体" w:cs="宋体"/>
          <w:sz w:val="28"/>
          <w:szCs w:val="28"/>
        </w:rPr>
      </w:pPr>
      <w:r>
        <w:rPr>
          <w:rFonts w:ascii="宋体" w:hAnsi="宋体" w:eastAsia="宋体" w:cs="宋体"/>
          <w:sz w:val="28"/>
          <w:szCs w:val="28"/>
        </w:rPr>
        <w:t xml:space="preserve">人权活动规划 </w:t>
      </w:r>
    </w:p>
    <w:p w14:paraId="14D5A1CB">
      <w:pPr>
        <w:numPr>
          <w:ilvl w:val="0"/>
          <w:numId w:val="0"/>
        </w:numPr>
        <w:ind w:firstLine="560" w:firstLineChars="200"/>
        <w:rPr>
          <w:rFonts w:ascii="宋体" w:hAnsi="宋体" w:eastAsia="宋体" w:cs="宋体"/>
          <w:sz w:val="28"/>
          <w:szCs w:val="28"/>
        </w:rPr>
      </w:pPr>
      <w:r>
        <w:rPr>
          <w:rFonts w:ascii="宋体" w:hAnsi="宋体" w:eastAsia="宋体" w:cs="宋体"/>
          <w:sz w:val="28"/>
          <w:szCs w:val="28"/>
        </w:rPr>
        <w:t>以下报告是在 202</w:t>
      </w:r>
      <w:r>
        <w:rPr>
          <w:rFonts w:hint="eastAsia" w:ascii="宋体" w:hAnsi="宋体" w:eastAsia="宋体" w:cs="宋体"/>
          <w:sz w:val="28"/>
          <w:szCs w:val="28"/>
          <w:lang w:val="en-US" w:eastAsia="zh-CN"/>
        </w:rPr>
        <w:t>4</w:t>
      </w:r>
      <w:r>
        <w:rPr>
          <w:rFonts w:ascii="宋体" w:hAnsi="宋体" w:eastAsia="宋体" w:cs="宋体"/>
          <w:sz w:val="28"/>
          <w:szCs w:val="28"/>
        </w:rPr>
        <w:t>年1月至202</w:t>
      </w:r>
      <w:r>
        <w:rPr>
          <w:rFonts w:hint="eastAsia" w:ascii="宋体" w:hAnsi="宋体" w:eastAsia="宋体" w:cs="宋体"/>
          <w:sz w:val="28"/>
          <w:szCs w:val="28"/>
          <w:lang w:val="en-US" w:eastAsia="zh-CN"/>
        </w:rPr>
        <w:t>4</w:t>
      </w:r>
      <w:r>
        <w:rPr>
          <w:rFonts w:ascii="宋体" w:hAnsi="宋体" w:eastAsia="宋体" w:cs="宋体"/>
          <w:sz w:val="28"/>
          <w:szCs w:val="28"/>
        </w:rPr>
        <w:t>年8月期间根据文件审核、与管理人员的访谈及员工在线调查等进行收集并编写。我们的分析旨在明确</w:t>
      </w:r>
      <w:r>
        <w:rPr>
          <w:rFonts w:hint="eastAsia" w:ascii="宋体" w:hAnsi="宋体" w:eastAsia="宋体" w:cs="宋体"/>
          <w:sz w:val="28"/>
          <w:szCs w:val="28"/>
          <w:lang w:eastAsia="zh-CN"/>
        </w:rPr>
        <w:t>公司</w:t>
      </w:r>
      <w:r>
        <w:rPr>
          <w:rFonts w:ascii="宋体" w:hAnsi="宋体" w:eastAsia="宋体" w:cs="宋体"/>
          <w:sz w:val="28"/>
          <w:szCs w:val="28"/>
        </w:rPr>
        <w:t>运营对人权的实际和潜在影响，并评估</w:t>
      </w:r>
      <w:r>
        <w:rPr>
          <w:rFonts w:hint="eastAsia" w:ascii="宋体" w:hAnsi="宋体" w:eastAsia="宋体" w:cs="宋体"/>
          <w:sz w:val="28"/>
          <w:szCs w:val="28"/>
          <w:lang w:eastAsia="zh-CN"/>
        </w:rPr>
        <w:t>公司</w:t>
      </w:r>
      <w:r>
        <w:rPr>
          <w:rFonts w:ascii="宋体" w:hAnsi="宋体" w:eastAsia="宋体" w:cs="宋体"/>
          <w:sz w:val="28"/>
          <w:szCs w:val="28"/>
        </w:rPr>
        <w:t xml:space="preserve">当前为管理这些影响而采取的措施及有效性。 </w:t>
      </w:r>
    </w:p>
    <w:p w14:paraId="7FFC373E">
      <w:pPr>
        <w:numPr>
          <w:ilvl w:val="0"/>
          <w:numId w:val="0"/>
        </w:numPr>
        <w:ind w:firstLine="560" w:firstLineChars="200"/>
        <w:rPr>
          <w:rFonts w:ascii="宋体" w:hAnsi="宋体" w:eastAsia="宋体" w:cs="宋体"/>
          <w:sz w:val="28"/>
          <w:szCs w:val="28"/>
        </w:rPr>
      </w:pPr>
      <w:r>
        <w:rPr>
          <w:rFonts w:ascii="宋体" w:hAnsi="宋体" w:eastAsia="宋体" w:cs="宋体"/>
          <w:sz w:val="28"/>
          <w:szCs w:val="28"/>
        </w:rPr>
        <w:t>总体而言，</w:t>
      </w:r>
      <w:r>
        <w:rPr>
          <w:rFonts w:hint="eastAsia" w:ascii="宋体" w:hAnsi="宋体" w:eastAsia="宋体" w:cs="宋体"/>
          <w:sz w:val="28"/>
          <w:szCs w:val="28"/>
          <w:lang w:eastAsia="zh-CN"/>
        </w:rPr>
        <w:t>广东隆达铝业有限公司</w:t>
      </w:r>
      <w:r>
        <w:rPr>
          <w:rFonts w:ascii="宋体" w:hAnsi="宋体" w:eastAsia="宋体" w:cs="宋体"/>
          <w:sz w:val="28"/>
          <w:szCs w:val="28"/>
        </w:rPr>
        <w:t>的流程和政策涵盖了重要的人权问题，例如禁止强迫用工、禁止歧视、</w:t>
      </w:r>
      <w:r>
        <w:rPr>
          <w:rFonts w:hint="eastAsia" w:ascii="宋体" w:hAnsi="宋体" w:eastAsia="宋体" w:cs="宋体"/>
          <w:sz w:val="28"/>
          <w:szCs w:val="28"/>
          <w:lang w:val="en-US" w:eastAsia="zh-CN"/>
        </w:rPr>
        <w:t>禁止强迫</w:t>
      </w:r>
      <w:r>
        <w:rPr>
          <w:rFonts w:ascii="宋体" w:hAnsi="宋体" w:eastAsia="宋体" w:cs="宋体"/>
          <w:sz w:val="28"/>
          <w:szCs w:val="28"/>
        </w:rPr>
        <w:t>、获得救助以及工作时间和休息休假。</w:t>
      </w:r>
      <w:r>
        <w:rPr>
          <w:rFonts w:hint="eastAsia" w:ascii="宋体" w:hAnsi="宋体" w:eastAsia="宋体" w:cs="宋体"/>
          <w:sz w:val="28"/>
          <w:szCs w:val="28"/>
          <w:lang w:eastAsia="zh-CN"/>
        </w:rPr>
        <w:t>公司</w:t>
      </w:r>
      <w:r>
        <w:rPr>
          <w:rFonts w:ascii="宋体" w:hAnsi="宋体" w:eastAsia="宋体" w:cs="宋体"/>
          <w:sz w:val="28"/>
          <w:szCs w:val="28"/>
        </w:rPr>
        <w:t>通过专业管理来确保运营安全，进而确保员工和活动参与者的人身安全。</w:t>
      </w:r>
      <w:r>
        <w:rPr>
          <w:rFonts w:hint="eastAsia" w:ascii="宋体" w:hAnsi="宋体" w:eastAsia="宋体" w:cs="宋体"/>
          <w:sz w:val="28"/>
          <w:szCs w:val="28"/>
          <w:lang w:eastAsia="zh-CN"/>
        </w:rPr>
        <w:t>公司</w:t>
      </w:r>
      <w:r>
        <w:rPr>
          <w:rFonts w:ascii="宋体" w:hAnsi="宋体" w:eastAsia="宋体" w:cs="宋体"/>
          <w:sz w:val="28"/>
          <w:szCs w:val="28"/>
        </w:rPr>
        <w:t>仍然</w:t>
      </w:r>
      <w:r>
        <w:rPr>
          <w:rFonts w:hint="eastAsia" w:ascii="宋体" w:hAnsi="宋体" w:eastAsia="宋体" w:cs="宋体"/>
          <w:sz w:val="28"/>
          <w:szCs w:val="28"/>
          <w:lang w:val="en-US" w:eastAsia="zh-CN"/>
        </w:rPr>
        <w:t>需</w:t>
      </w:r>
      <w:r>
        <w:rPr>
          <w:rFonts w:ascii="宋体" w:hAnsi="宋体" w:eastAsia="宋体" w:cs="宋体"/>
          <w:sz w:val="28"/>
          <w:szCs w:val="28"/>
        </w:rPr>
        <w:t>在人权影响评估所涵盖的各个领域做出改进。包括优化相关流程以促进每一位员工享有公平公正的待遇、通过内部申诉机制收集和调查投诉、管理供应链中的人权风险，以及有效管理与</w:t>
      </w:r>
      <w:r>
        <w:rPr>
          <w:rFonts w:hint="eastAsia" w:ascii="宋体" w:hAnsi="宋体" w:eastAsia="宋体" w:cs="宋体"/>
          <w:sz w:val="28"/>
          <w:szCs w:val="28"/>
          <w:lang w:eastAsia="zh-CN"/>
        </w:rPr>
        <w:t>公司</w:t>
      </w:r>
      <w:r>
        <w:rPr>
          <w:rFonts w:ascii="宋体" w:hAnsi="宋体" w:eastAsia="宋体" w:cs="宋体"/>
          <w:sz w:val="28"/>
          <w:szCs w:val="28"/>
        </w:rPr>
        <w:t>生产</w:t>
      </w:r>
      <w:r>
        <w:rPr>
          <w:rFonts w:hint="eastAsia" w:ascii="宋体" w:hAnsi="宋体" w:eastAsia="宋体" w:cs="宋体"/>
          <w:sz w:val="28"/>
          <w:szCs w:val="28"/>
          <w:lang w:val="en-US" w:eastAsia="zh-CN"/>
        </w:rPr>
        <w:t>生产</w:t>
      </w:r>
      <w:r>
        <w:rPr>
          <w:rFonts w:ascii="宋体" w:hAnsi="宋体" w:eastAsia="宋体" w:cs="宋体"/>
          <w:sz w:val="28"/>
          <w:szCs w:val="28"/>
        </w:rPr>
        <w:t>运行有关的人权问题。</w:t>
      </w:r>
    </w:p>
    <w:p w14:paraId="53767449">
      <w:pPr>
        <w:numPr>
          <w:ilvl w:val="0"/>
          <w:numId w:val="1"/>
        </w:numPr>
        <w:ind w:left="0" w:leftChars="0" w:firstLine="0" w:firstLineChars="0"/>
        <w:rPr>
          <w:rFonts w:ascii="宋体" w:hAnsi="宋体" w:eastAsia="宋体" w:cs="宋体"/>
          <w:b/>
          <w:bCs/>
          <w:sz w:val="28"/>
          <w:szCs w:val="28"/>
        </w:rPr>
      </w:pPr>
      <w:r>
        <w:rPr>
          <w:rFonts w:hint="eastAsia" w:ascii="宋体" w:hAnsi="宋体" w:eastAsia="宋体" w:cs="宋体"/>
          <w:b/>
          <w:bCs/>
          <w:sz w:val="28"/>
          <w:szCs w:val="28"/>
          <w:lang w:eastAsia="zh-CN"/>
        </w:rPr>
        <w:t>公司</w:t>
      </w:r>
      <w:r>
        <w:rPr>
          <w:rFonts w:ascii="宋体" w:hAnsi="宋体" w:eastAsia="宋体" w:cs="宋体"/>
          <w:b/>
          <w:bCs/>
          <w:sz w:val="28"/>
          <w:szCs w:val="28"/>
        </w:rPr>
        <w:t xml:space="preserve">潜在人权影响评价结果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2672"/>
        <w:gridCol w:w="1704"/>
        <w:gridCol w:w="1705"/>
        <w:gridCol w:w="1705"/>
      </w:tblGrid>
      <w:tr w14:paraId="28BAE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vAlign w:val="center"/>
          </w:tcPr>
          <w:p w14:paraId="65FBF8B9">
            <w:pPr>
              <w:numPr>
                <w:ilvl w:val="0"/>
                <w:numId w:val="0"/>
              </w:numPr>
              <w:jc w:val="center"/>
              <w:rPr>
                <w:rFonts w:ascii="宋体" w:hAnsi="宋体" w:eastAsia="宋体" w:cs="宋体"/>
                <w:b/>
                <w:bCs/>
                <w:sz w:val="18"/>
                <w:szCs w:val="18"/>
                <w:vertAlign w:val="baseline"/>
              </w:rPr>
            </w:pPr>
            <w:r>
              <w:rPr>
                <w:rFonts w:ascii="宋体" w:hAnsi="宋体" w:eastAsia="宋体" w:cs="宋体"/>
                <w:b/>
                <w:bCs/>
                <w:sz w:val="18"/>
                <w:szCs w:val="18"/>
              </w:rPr>
              <w:t>序号</w:t>
            </w:r>
          </w:p>
        </w:tc>
        <w:tc>
          <w:tcPr>
            <w:tcW w:w="2672" w:type="dxa"/>
            <w:vAlign w:val="center"/>
          </w:tcPr>
          <w:p w14:paraId="2C5E3704">
            <w:pPr>
              <w:numPr>
                <w:ilvl w:val="0"/>
                <w:numId w:val="0"/>
              </w:numPr>
              <w:jc w:val="center"/>
              <w:rPr>
                <w:rFonts w:ascii="宋体" w:hAnsi="宋体" w:eastAsia="宋体" w:cs="宋体"/>
                <w:b/>
                <w:bCs/>
                <w:sz w:val="18"/>
                <w:szCs w:val="18"/>
                <w:vertAlign w:val="baseline"/>
              </w:rPr>
            </w:pPr>
            <w:r>
              <w:rPr>
                <w:rFonts w:ascii="宋体" w:hAnsi="宋体" w:eastAsia="宋体" w:cs="宋体"/>
                <w:b/>
                <w:bCs/>
                <w:sz w:val="18"/>
                <w:szCs w:val="18"/>
              </w:rPr>
              <w:t>潜在的可能受影响的人权</w:t>
            </w:r>
          </w:p>
        </w:tc>
        <w:tc>
          <w:tcPr>
            <w:tcW w:w="1704" w:type="dxa"/>
            <w:vAlign w:val="center"/>
          </w:tcPr>
          <w:p w14:paraId="5D2AD91F">
            <w:pPr>
              <w:numPr>
                <w:ilvl w:val="0"/>
                <w:numId w:val="0"/>
              </w:numPr>
              <w:jc w:val="center"/>
              <w:rPr>
                <w:rFonts w:hint="default" w:ascii="宋体" w:hAnsi="宋体" w:eastAsia="宋体" w:cs="宋体"/>
                <w:b/>
                <w:bCs/>
                <w:sz w:val="18"/>
                <w:szCs w:val="18"/>
                <w:vertAlign w:val="baseline"/>
                <w:lang w:val="en-US" w:eastAsia="zh-CN"/>
              </w:rPr>
            </w:pPr>
            <w:r>
              <w:rPr>
                <w:rFonts w:hint="eastAsia" w:ascii="宋体" w:hAnsi="宋体" w:eastAsia="宋体" w:cs="宋体"/>
                <w:b/>
                <w:bCs/>
                <w:sz w:val="18"/>
                <w:szCs w:val="18"/>
                <w:vertAlign w:val="baseline"/>
                <w:lang w:val="en-US" w:eastAsia="zh-CN"/>
              </w:rPr>
              <w:t>现状情况</w:t>
            </w:r>
          </w:p>
        </w:tc>
        <w:tc>
          <w:tcPr>
            <w:tcW w:w="1705" w:type="dxa"/>
            <w:vAlign w:val="center"/>
          </w:tcPr>
          <w:p w14:paraId="37300224">
            <w:pPr>
              <w:numPr>
                <w:ilvl w:val="0"/>
                <w:numId w:val="0"/>
              </w:numPr>
              <w:jc w:val="center"/>
              <w:rPr>
                <w:rFonts w:ascii="宋体" w:hAnsi="宋体" w:eastAsia="宋体" w:cs="宋体"/>
                <w:b/>
                <w:bCs/>
                <w:sz w:val="18"/>
                <w:szCs w:val="18"/>
                <w:vertAlign w:val="baseline"/>
              </w:rPr>
            </w:pPr>
            <w:r>
              <w:rPr>
                <w:rFonts w:ascii="宋体" w:hAnsi="宋体" w:eastAsia="宋体" w:cs="宋体"/>
                <w:b/>
                <w:bCs/>
                <w:sz w:val="18"/>
                <w:szCs w:val="18"/>
              </w:rPr>
              <w:t>公司制度/规定</w:t>
            </w:r>
          </w:p>
        </w:tc>
        <w:tc>
          <w:tcPr>
            <w:tcW w:w="1705" w:type="dxa"/>
            <w:vAlign w:val="center"/>
          </w:tcPr>
          <w:p w14:paraId="0D126A93">
            <w:pPr>
              <w:numPr>
                <w:ilvl w:val="0"/>
                <w:numId w:val="0"/>
              </w:numPr>
              <w:jc w:val="center"/>
              <w:rPr>
                <w:rFonts w:hint="default" w:ascii="宋体" w:hAnsi="宋体" w:eastAsia="宋体" w:cs="宋体"/>
                <w:b/>
                <w:bCs/>
                <w:sz w:val="18"/>
                <w:szCs w:val="18"/>
                <w:vertAlign w:val="baseline"/>
                <w:lang w:val="en-US" w:eastAsia="zh-CN"/>
              </w:rPr>
            </w:pPr>
            <w:r>
              <w:rPr>
                <w:rFonts w:ascii="宋体" w:hAnsi="宋体" w:eastAsia="宋体" w:cs="宋体"/>
                <w:b/>
                <w:bCs/>
                <w:sz w:val="18"/>
                <w:szCs w:val="18"/>
              </w:rPr>
              <w:t>公司</w:t>
            </w:r>
            <w:r>
              <w:rPr>
                <w:rFonts w:hint="eastAsia" w:ascii="宋体" w:hAnsi="宋体" w:eastAsia="宋体" w:cs="宋体"/>
                <w:b/>
                <w:bCs/>
                <w:sz w:val="18"/>
                <w:szCs w:val="18"/>
                <w:lang w:val="en-US" w:eastAsia="zh-CN"/>
              </w:rPr>
              <w:t>完成度</w:t>
            </w:r>
          </w:p>
        </w:tc>
      </w:tr>
      <w:tr w14:paraId="5290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67494306">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w:t>
            </w:r>
          </w:p>
        </w:tc>
        <w:tc>
          <w:tcPr>
            <w:tcW w:w="2672" w:type="dxa"/>
          </w:tcPr>
          <w:p w14:paraId="0697D00E">
            <w:pPr>
              <w:numPr>
                <w:ilvl w:val="0"/>
                <w:numId w:val="0"/>
              </w:numPr>
              <w:jc w:val="center"/>
              <w:rPr>
                <w:rFonts w:ascii="宋体" w:hAnsi="宋体" w:eastAsia="宋体" w:cs="宋体"/>
                <w:sz w:val="16"/>
                <w:szCs w:val="16"/>
                <w:vertAlign w:val="baseline"/>
              </w:rPr>
            </w:pPr>
            <w:r>
              <w:rPr>
                <w:rFonts w:hint="eastAsia" w:ascii="宋体" w:hAnsi="宋体" w:eastAsia="宋体" w:cs="宋体"/>
                <w:sz w:val="16"/>
                <w:szCs w:val="16"/>
                <w:lang w:val="en-US" w:eastAsia="zh-CN"/>
              </w:rPr>
              <w:t>获得</w:t>
            </w:r>
            <w:r>
              <w:rPr>
                <w:rFonts w:ascii="宋体" w:hAnsi="宋体" w:eastAsia="宋体" w:cs="宋体"/>
                <w:sz w:val="16"/>
                <w:szCs w:val="16"/>
              </w:rPr>
              <w:t>工作的权利</w:t>
            </w:r>
          </w:p>
        </w:tc>
        <w:tc>
          <w:tcPr>
            <w:tcW w:w="1704" w:type="dxa"/>
          </w:tcPr>
          <w:p w14:paraId="277A2E97">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按制度执行</w:t>
            </w:r>
          </w:p>
        </w:tc>
        <w:tc>
          <w:tcPr>
            <w:tcW w:w="1705" w:type="dxa"/>
          </w:tcPr>
          <w:p w14:paraId="02F229F2">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 xml:space="preserve"> 建立制度</w:t>
            </w:r>
          </w:p>
        </w:tc>
        <w:tc>
          <w:tcPr>
            <w:tcW w:w="1705" w:type="dxa"/>
          </w:tcPr>
          <w:p w14:paraId="1A2B8990">
            <w:pPr>
              <w:numPr>
                <w:ilvl w:val="0"/>
                <w:numId w:val="0"/>
              </w:numPr>
              <w:jc w:val="center"/>
              <w:rPr>
                <w:rFonts w:ascii="宋体" w:hAnsi="宋体" w:eastAsia="宋体" w:cs="宋体"/>
                <w:sz w:val="16"/>
                <w:szCs w:val="16"/>
                <w:vertAlign w:val="baseline"/>
              </w:rPr>
            </w:pPr>
            <w:r>
              <w:rPr>
                <w:rFonts w:ascii="宋体" w:hAnsi="宋体" w:eastAsia="宋体" w:cs="宋体"/>
                <w:sz w:val="16"/>
                <w:szCs w:val="16"/>
              </w:rPr>
              <w:t>高</w:t>
            </w:r>
          </w:p>
        </w:tc>
      </w:tr>
      <w:tr w14:paraId="7AE6A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08D92FE0">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2</w:t>
            </w:r>
          </w:p>
        </w:tc>
        <w:tc>
          <w:tcPr>
            <w:tcW w:w="2672" w:type="dxa"/>
          </w:tcPr>
          <w:p w14:paraId="634F594A">
            <w:pPr>
              <w:numPr>
                <w:ilvl w:val="0"/>
                <w:numId w:val="0"/>
              </w:numPr>
              <w:jc w:val="center"/>
              <w:rPr>
                <w:rFonts w:ascii="宋体" w:hAnsi="宋体" w:eastAsia="宋体" w:cs="宋体"/>
                <w:sz w:val="16"/>
                <w:szCs w:val="16"/>
                <w:vertAlign w:val="baseline"/>
              </w:rPr>
            </w:pPr>
            <w:r>
              <w:rPr>
                <w:rFonts w:ascii="宋体" w:hAnsi="宋体" w:eastAsia="宋体" w:cs="宋体"/>
                <w:sz w:val="16"/>
                <w:szCs w:val="16"/>
              </w:rPr>
              <w:t>获得公正报酬的权利</w:t>
            </w:r>
          </w:p>
        </w:tc>
        <w:tc>
          <w:tcPr>
            <w:tcW w:w="1704" w:type="dxa"/>
            <w:vAlign w:val="top"/>
          </w:tcPr>
          <w:p w14:paraId="081136F5">
            <w:pPr>
              <w:numPr>
                <w:ilvl w:val="0"/>
                <w:numId w:val="0"/>
              </w:numPr>
              <w:ind w:left="0" w:leftChars="0" w:firstLine="0" w:firstLineChars="0"/>
              <w:jc w:val="center"/>
              <w:rPr>
                <w:rFonts w:ascii="宋体" w:hAnsi="宋体" w:eastAsia="宋体" w:cs="宋体"/>
                <w:sz w:val="16"/>
                <w:szCs w:val="16"/>
                <w:vertAlign w:val="baseline"/>
              </w:rPr>
            </w:pPr>
            <w:r>
              <w:rPr>
                <w:rFonts w:hint="eastAsia" w:ascii="宋体" w:hAnsi="宋体" w:eastAsia="宋体" w:cs="宋体"/>
                <w:sz w:val="16"/>
                <w:szCs w:val="16"/>
                <w:vertAlign w:val="baseline"/>
                <w:lang w:val="en-US" w:eastAsia="zh-CN"/>
              </w:rPr>
              <w:t>按制度执行</w:t>
            </w:r>
          </w:p>
        </w:tc>
        <w:tc>
          <w:tcPr>
            <w:tcW w:w="1705" w:type="dxa"/>
            <w:vAlign w:val="top"/>
          </w:tcPr>
          <w:p w14:paraId="0479EEA4">
            <w:pPr>
              <w:numPr>
                <w:ilvl w:val="0"/>
                <w:numId w:val="0"/>
              </w:numPr>
              <w:ind w:left="0" w:leftChars="0" w:firstLine="0" w:firstLineChars="0"/>
              <w:jc w:val="both"/>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19EAA38F">
            <w:pPr>
              <w:numPr>
                <w:ilvl w:val="0"/>
                <w:numId w:val="0"/>
              </w:numPr>
              <w:ind w:left="0" w:leftChars="0" w:firstLine="0" w:firstLineChars="0"/>
              <w:jc w:val="center"/>
              <w:rPr>
                <w:rFonts w:ascii="宋体" w:hAnsi="宋体" w:eastAsia="宋体" w:cs="宋体"/>
                <w:sz w:val="16"/>
                <w:szCs w:val="16"/>
                <w:vertAlign w:val="baseline"/>
              </w:rPr>
            </w:pPr>
            <w:r>
              <w:rPr>
                <w:rFonts w:ascii="宋体" w:hAnsi="宋体" w:eastAsia="宋体" w:cs="宋体"/>
                <w:sz w:val="16"/>
                <w:szCs w:val="16"/>
              </w:rPr>
              <w:t>高</w:t>
            </w:r>
          </w:p>
        </w:tc>
      </w:tr>
      <w:tr w14:paraId="60ABB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46CA19D6">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3</w:t>
            </w:r>
          </w:p>
        </w:tc>
        <w:tc>
          <w:tcPr>
            <w:tcW w:w="2672" w:type="dxa"/>
          </w:tcPr>
          <w:p w14:paraId="71E802DC">
            <w:pPr>
              <w:numPr>
                <w:ilvl w:val="0"/>
                <w:numId w:val="0"/>
              </w:numPr>
              <w:jc w:val="center"/>
              <w:rPr>
                <w:rFonts w:ascii="宋体" w:hAnsi="宋体" w:eastAsia="宋体" w:cs="宋体"/>
                <w:sz w:val="16"/>
                <w:szCs w:val="16"/>
                <w:vertAlign w:val="baseline"/>
              </w:rPr>
            </w:pPr>
            <w:r>
              <w:rPr>
                <w:rFonts w:ascii="宋体" w:hAnsi="宋体" w:eastAsia="宋体" w:cs="宋体"/>
                <w:sz w:val="16"/>
                <w:szCs w:val="16"/>
              </w:rPr>
              <w:t>免于剥削</w:t>
            </w:r>
          </w:p>
        </w:tc>
        <w:tc>
          <w:tcPr>
            <w:tcW w:w="1704" w:type="dxa"/>
            <w:vAlign w:val="top"/>
          </w:tcPr>
          <w:p w14:paraId="59503426">
            <w:pPr>
              <w:numPr>
                <w:ilvl w:val="0"/>
                <w:numId w:val="0"/>
              </w:numPr>
              <w:ind w:left="0" w:leftChars="0" w:firstLine="0" w:firstLineChars="0"/>
              <w:jc w:val="center"/>
              <w:rPr>
                <w:rFonts w:ascii="宋体" w:hAnsi="宋体" w:eastAsia="宋体" w:cs="宋体"/>
                <w:sz w:val="16"/>
                <w:szCs w:val="16"/>
                <w:vertAlign w:val="baseline"/>
              </w:rPr>
            </w:pPr>
            <w:r>
              <w:rPr>
                <w:rFonts w:hint="eastAsia" w:ascii="宋体" w:hAnsi="宋体" w:eastAsia="宋体" w:cs="宋体"/>
                <w:sz w:val="16"/>
                <w:szCs w:val="16"/>
                <w:vertAlign w:val="baseline"/>
                <w:lang w:val="en-US" w:eastAsia="zh-CN"/>
              </w:rPr>
              <w:t>按制度执行</w:t>
            </w:r>
          </w:p>
        </w:tc>
        <w:tc>
          <w:tcPr>
            <w:tcW w:w="1705" w:type="dxa"/>
            <w:vAlign w:val="top"/>
          </w:tcPr>
          <w:p w14:paraId="12FEEFAC">
            <w:pPr>
              <w:numPr>
                <w:ilvl w:val="0"/>
                <w:numId w:val="0"/>
              </w:numPr>
              <w:ind w:left="0" w:leftChars="0" w:firstLine="0" w:firstLineChars="0"/>
              <w:jc w:val="center"/>
              <w:rPr>
                <w:rFonts w:hint="default"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5BEAEEF8">
            <w:pPr>
              <w:numPr>
                <w:ilvl w:val="0"/>
                <w:numId w:val="0"/>
              </w:numPr>
              <w:ind w:left="0" w:leftChars="0" w:firstLine="0" w:firstLineChars="0"/>
              <w:jc w:val="center"/>
              <w:rPr>
                <w:rFonts w:ascii="宋体" w:hAnsi="宋体" w:eastAsia="宋体" w:cs="宋体"/>
                <w:sz w:val="16"/>
                <w:szCs w:val="16"/>
                <w:vertAlign w:val="baseline"/>
              </w:rPr>
            </w:pPr>
            <w:r>
              <w:rPr>
                <w:rFonts w:ascii="宋体" w:hAnsi="宋体" w:eastAsia="宋体" w:cs="宋体"/>
                <w:sz w:val="16"/>
                <w:szCs w:val="16"/>
              </w:rPr>
              <w:t>高</w:t>
            </w:r>
          </w:p>
        </w:tc>
      </w:tr>
      <w:tr w14:paraId="61672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6F43343A">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4</w:t>
            </w:r>
          </w:p>
        </w:tc>
        <w:tc>
          <w:tcPr>
            <w:tcW w:w="2672" w:type="dxa"/>
          </w:tcPr>
          <w:p w14:paraId="74D8D570">
            <w:pPr>
              <w:numPr>
                <w:ilvl w:val="0"/>
                <w:numId w:val="0"/>
              </w:numPr>
              <w:jc w:val="center"/>
              <w:rPr>
                <w:rFonts w:ascii="宋体" w:hAnsi="宋体" w:eastAsia="宋体" w:cs="宋体"/>
                <w:sz w:val="16"/>
                <w:szCs w:val="16"/>
                <w:vertAlign w:val="baseline"/>
              </w:rPr>
            </w:pPr>
            <w:r>
              <w:rPr>
                <w:rFonts w:ascii="宋体" w:hAnsi="宋体" w:eastAsia="宋体" w:cs="宋体"/>
                <w:sz w:val="16"/>
                <w:szCs w:val="16"/>
              </w:rPr>
              <w:t>童工</w:t>
            </w:r>
          </w:p>
        </w:tc>
        <w:tc>
          <w:tcPr>
            <w:tcW w:w="1704" w:type="dxa"/>
            <w:vAlign w:val="top"/>
          </w:tcPr>
          <w:p w14:paraId="4575FBE3">
            <w:pPr>
              <w:numPr>
                <w:ilvl w:val="0"/>
                <w:numId w:val="0"/>
              </w:numPr>
              <w:ind w:left="0" w:leftChars="0" w:firstLine="0" w:firstLineChars="0"/>
              <w:jc w:val="center"/>
              <w:rPr>
                <w:rFonts w:ascii="宋体" w:hAnsi="宋体" w:eastAsia="宋体" w:cs="宋体"/>
                <w:sz w:val="16"/>
                <w:szCs w:val="16"/>
                <w:vertAlign w:val="baseline"/>
              </w:rPr>
            </w:pPr>
            <w:r>
              <w:rPr>
                <w:rFonts w:hint="eastAsia" w:ascii="宋体" w:hAnsi="宋体" w:eastAsia="宋体" w:cs="宋体"/>
                <w:sz w:val="16"/>
                <w:szCs w:val="16"/>
                <w:vertAlign w:val="baseline"/>
                <w:lang w:val="en-US" w:eastAsia="zh-CN"/>
              </w:rPr>
              <w:t>按制度执行</w:t>
            </w:r>
          </w:p>
        </w:tc>
        <w:tc>
          <w:tcPr>
            <w:tcW w:w="1705" w:type="dxa"/>
            <w:vAlign w:val="top"/>
          </w:tcPr>
          <w:p w14:paraId="7EBE00D0">
            <w:pPr>
              <w:numPr>
                <w:ilvl w:val="0"/>
                <w:numId w:val="0"/>
              </w:numPr>
              <w:ind w:left="0" w:leftChars="0" w:firstLine="0" w:firstLineChars="0"/>
              <w:jc w:val="both"/>
              <w:rPr>
                <w:rFonts w:hint="default"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7AA827D5">
            <w:pPr>
              <w:numPr>
                <w:ilvl w:val="0"/>
                <w:numId w:val="0"/>
              </w:numPr>
              <w:ind w:left="0" w:leftChars="0" w:firstLine="0" w:firstLineChars="0"/>
              <w:jc w:val="center"/>
              <w:rPr>
                <w:rFonts w:ascii="宋体" w:hAnsi="宋体" w:eastAsia="宋体" w:cs="宋体"/>
                <w:sz w:val="16"/>
                <w:szCs w:val="16"/>
                <w:vertAlign w:val="baseline"/>
              </w:rPr>
            </w:pPr>
            <w:r>
              <w:rPr>
                <w:rFonts w:ascii="宋体" w:hAnsi="宋体" w:eastAsia="宋体" w:cs="宋体"/>
                <w:sz w:val="16"/>
                <w:szCs w:val="16"/>
              </w:rPr>
              <w:t>高</w:t>
            </w:r>
          </w:p>
        </w:tc>
      </w:tr>
      <w:tr w14:paraId="76B7C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6D9D7D88">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5</w:t>
            </w:r>
          </w:p>
        </w:tc>
        <w:tc>
          <w:tcPr>
            <w:tcW w:w="2672" w:type="dxa"/>
          </w:tcPr>
          <w:p w14:paraId="27B287FF">
            <w:pPr>
              <w:numPr>
                <w:ilvl w:val="0"/>
                <w:numId w:val="0"/>
              </w:numPr>
              <w:jc w:val="center"/>
              <w:rPr>
                <w:rFonts w:ascii="宋体" w:hAnsi="宋体" w:eastAsia="宋体" w:cs="宋体"/>
                <w:sz w:val="16"/>
                <w:szCs w:val="16"/>
                <w:vertAlign w:val="baseline"/>
              </w:rPr>
            </w:pPr>
            <w:r>
              <w:rPr>
                <w:rFonts w:ascii="宋体" w:hAnsi="宋体" w:eastAsia="宋体" w:cs="宋体"/>
                <w:sz w:val="16"/>
                <w:szCs w:val="16"/>
              </w:rPr>
              <w:t>免于非自愿劳动</w:t>
            </w:r>
          </w:p>
        </w:tc>
        <w:tc>
          <w:tcPr>
            <w:tcW w:w="1704" w:type="dxa"/>
            <w:vAlign w:val="top"/>
          </w:tcPr>
          <w:p w14:paraId="6D30914A">
            <w:pPr>
              <w:numPr>
                <w:ilvl w:val="0"/>
                <w:numId w:val="0"/>
              </w:numPr>
              <w:ind w:left="0" w:leftChars="0" w:firstLine="0" w:firstLineChars="0"/>
              <w:jc w:val="center"/>
              <w:rPr>
                <w:rFonts w:ascii="宋体" w:hAnsi="宋体" w:eastAsia="宋体" w:cs="宋体"/>
                <w:sz w:val="16"/>
                <w:szCs w:val="16"/>
                <w:vertAlign w:val="baseline"/>
              </w:rPr>
            </w:pPr>
            <w:r>
              <w:rPr>
                <w:rFonts w:hint="eastAsia" w:ascii="宋体" w:hAnsi="宋体" w:eastAsia="宋体" w:cs="宋体"/>
                <w:sz w:val="16"/>
                <w:szCs w:val="16"/>
                <w:vertAlign w:val="baseline"/>
                <w:lang w:val="en-US" w:eastAsia="zh-CN"/>
              </w:rPr>
              <w:t>按制度执行</w:t>
            </w:r>
          </w:p>
        </w:tc>
        <w:tc>
          <w:tcPr>
            <w:tcW w:w="1705" w:type="dxa"/>
            <w:vAlign w:val="top"/>
          </w:tcPr>
          <w:p w14:paraId="0F45177C">
            <w:pPr>
              <w:numPr>
                <w:ilvl w:val="0"/>
                <w:numId w:val="0"/>
              </w:numPr>
              <w:ind w:left="0" w:leftChars="0" w:firstLine="0" w:firstLineChars="0"/>
              <w:jc w:val="center"/>
              <w:rPr>
                <w:rFonts w:hint="default"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03219CB2">
            <w:pPr>
              <w:numPr>
                <w:ilvl w:val="0"/>
                <w:numId w:val="0"/>
              </w:numPr>
              <w:ind w:left="0" w:leftChars="0" w:firstLine="0" w:firstLineChars="0"/>
              <w:jc w:val="center"/>
              <w:rPr>
                <w:rFonts w:ascii="宋体" w:hAnsi="宋体" w:eastAsia="宋体" w:cs="宋体"/>
                <w:sz w:val="16"/>
                <w:szCs w:val="16"/>
                <w:vertAlign w:val="baseline"/>
              </w:rPr>
            </w:pPr>
            <w:r>
              <w:rPr>
                <w:rFonts w:ascii="宋体" w:hAnsi="宋体" w:eastAsia="宋体" w:cs="宋体"/>
                <w:sz w:val="16"/>
                <w:szCs w:val="16"/>
              </w:rPr>
              <w:t>高</w:t>
            </w:r>
          </w:p>
        </w:tc>
      </w:tr>
      <w:tr w14:paraId="64D7F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460BF936">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6</w:t>
            </w:r>
          </w:p>
        </w:tc>
        <w:tc>
          <w:tcPr>
            <w:tcW w:w="2672" w:type="dxa"/>
          </w:tcPr>
          <w:p w14:paraId="73F4518D">
            <w:pPr>
              <w:numPr>
                <w:ilvl w:val="0"/>
                <w:numId w:val="0"/>
              </w:numPr>
              <w:jc w:val="center"/>
              <w:rPr>
                <w:rFonts w:ascii="宋体" w:hAnsi="宋体" w:eastAsia="宋体" w:cs="宋体"/>
                <w:sz w:val="16"/>
                <w:szCs w:val="16"/>
                <w:vertAlign w:val="baseline"/>
              </w:rPr>
            </w:pPr>
            <w:r>
              <w:rPr>
                <w:rFonts w:ascii="宋体" w:hAnsi="宋体" w:eastAsia="宋体" w:cs="宋体"/>
                <w:sz w:val="16"/>
                <w:szCs w:val="16"/>
              </w:rPr>
              <w:t>同工同酬</w:t>
            </w:r>
          </w:p>
        </w:tc>
        <w:tc>
          <w:tcPr>
            <w:tcW w:w="1704" w:type="dxa"/>
            <w:vAlign w:val="top"/>
          </w:tcPr>
          <w:p w14:paraId="7D1D6047">
            <w:pPr>
              <w:numPr>
                <w:ilvl w:val="0"/>
                <w:numId w:val="0"/>
              </w:numPr>
              <w:ind w:left="0" w:leftChars="0" w:firstLine="0" w:firstLineChars="0"/>
              <w:jc w:val="center"/>
              <w:rPr>
                <w:rFonts w:ascii="宋体" w:hAnsi="宋体" w:eastAsia="宋体" w:cs="宋体"/>
                <w:sz w:val="16"/>
                <w:szCs w:val="16"/>
                <w:vertAlign w:val="baseline"/>
              </w:rPr>
            </w:pPr>
            <w:r>
              <w:rPr>
                <w:rFonts w:hint="eastAsia" w:ascii="宋体" w:hAnsi="宋体" w:eastAsia="宋体" w:cs="宋体"/>
                <w:sz w:val="16"/>
                <w:szCs w:val="16"/>
                <w:vertAlign w:val="baseline"/>
                <w:lang w:val="en-US" w:eastAsia="zh-CN"/>
              </w:rPr>
              <w:t>按制度执行</w:t>
            </w:r>
          </w:p>
        </w:tc>
        <w:tc>
          <w:tcPr>
            <w:tcW w:w="1705" w:type="dxa"/>
            <w:vAlign w:val="top"/>
          </w:tcPr>
          <w:p w14:paraId="402C11AC">
            <w:pPr>
              <w:numPr>
                <w:ilvl w:val="0"/>
                <w:numId w:val="0"/>
              </w:numPr>
              <w:ind w:left="0" w:leftChars="0" w:firstLine="0" w:firstLineChars="0"/>
              <w:jc w:val="both"/>
              <w:rPr>
                <w:rFonts w:hint="default"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498FA447">
            <w:pPr>
              <w:numPr>
                <w:ilvl w:val="0"/>
                <w:numId w:val="0"/>
              </w:numPr>
              <w:ind w:left="0" w:leftChars="0" w:firstLine="0" w:firstLineChars="0"/>
              <w:jc w:val="center"/>
              <w:rPr>
                <w:rFonts w:ascii="宋体" w:hAnsi="宋体" w:eastAsia="宋体" w:cs="宋体"/>
                <w:sz w:val="16"/>
                <w:szCs w:val="16"/>
                <w:vertAlign w:val="baseline"/>
              </w:rPr>
            </w:pPr>
            <w:r>
              <w:rPr>
                <w:rFonts w:ascii="宋体" w:hAnsi="宋体" w:eastAsia="宋体" w:cs="宋体"/>
                <w:sz w:val="16"/>
                <w:szCs w:val="16"/>
              </w:rPr>
              <w:t>高</w:t>
            </w:r>
          </w:p>
        </w:tc>
      </w:tr>
      <w:tr w14:paraId="69115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5EB4FE03">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7</w:t>
            </w:r>
          </w:p>
        </w:tc>
        <w:tc>
          <w:tcPr>
            <w:tcW w:w="2672" w:type="dxa"/>
          </w:tcPr>
          <w:p w14:paraId="1E1ADCB4">
            <w:pPr>
              <w:numPr>
                <w:ilvl w:val="0"/>
                <w:numId w:val="0"/>
              </w:numPr>
              <w:jc w:val="center"/>
              <w:rPr>
                <w:rFonts w:ascii="宋体" w:hAnsi="宋体" w:eastAsia="宋体" w:cs="宋体"/>
                <w:sz w:val="16"/>
                <w:szCs w:val="16"/>
                <w:vertAlign w:val="baseline"/>
              </w:rPr>
            </w:pPr>
            <w:r>
              <w:rPr>
                <w:rFonts w:ascii="宋体" w:hAnsi="宋体" w:eastAsia="宋体" w:cs="宋体"/>
                <w:sz w:val="16"/>
                <w:szCs w:val="16"/>
              </w:rPr>
              <w:t>生命权</w:t>
            </w:r>
          </w:p>
        </w:tc>
        <w:tc>
          <w:tcPr>
            <w:tcW w:w="1704" w:type="dxa"/>
            <w:vAlign w:val="top"/>
          </w:tcPr>
          <w:p w14:paraId="6428C0AD">
            <w:pPr>
              <w:numPr>
                <w:ilvl w:val="0"/>
                <w:numId w:val="0"/>
              </w:numPr>
              <w:ind w:left="0" w:leftChars="0" w:firstLine="0" w:firstLineChars="0"/>
              <w:jc w:val="center"/>
              <w:rPr>
                <w:rFonts w:ascii="宋体" w:hAnsi="宋体" w:eastAsia="宋体" w:cs="宋体"/>
                <w:sz w:val="16"/>
                <w:szCs w:val="16"/>
                <w:vertAlign w:val="baseline"/>
              </w:rPr>
            </w:pPr>
            <w:r>
              <w:rPr>
                <w:rFonts w:hint="eastAsia" w:ascii="宋体" w:hAnsi="宋体" w:eastAsia="宋体" w:cs="宋体"/>
                <w:sz w:val="16"/>
                <w:szCs w:val="16"/>
                <w:vertAlign w:val="baseline"/>
                <w:lang w:val="en-US" w:eastAsia="zh-CN"/>
              </w:rPr>
              <w:t>按制度执行</w:t>
            </w:r>
          </w:p>
        </w:tc>
        <w:tc>
          <w:tcPr>
            <w:tcW w:w="1705" w:type="dxa"/>
            <w:vAlign w:val="top"/>
          </w:tcPr>
          <w:p w14:paraId="1EB04B4B">
            <w:pPr>
              <w:numPr>
                <w:ilvl w:val="0"/>
                <w:numId w:val="0"/>
              </w:numPr>
              <w:ind w:left="0" w:leftChars="0" w:firstLine="0" w:firstLineChars="0"/>
              <w:jc w:val="center"/>
              <w:rPr>
                <w:rFonts w:hint="default"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0A7D1878">
            <w:pPr>
              <w:numPr>
                <w:ilvl w:val="0"/>
                <w:numId w:val="0"/>
              </w:numPr>
              <w:ind w:left="0" w:leftChars="0" w:firstLine="0" w:firstLineChars="0"/>
              <w:jc w:val="center"/>
              <w:rPr>
                <w:rFonts w:ascii="宋体" w:hAnsi="宋体" w:eastAsia="宋体" w:cs="宋体"/>
                <w:sz w:val="16"/>
                <w:szCs w:val="16"/>
                <w:vertAlign w:val="baseline"/>
              </w:rPr>
            </w:pPr>
            <w:r>
              <w:rPr>
                <w:rFonts w:ascii="宋体" w:hAnsi="宋体" w:eastAsia="宋体" w:cs="宋体"/>
                <w:sz w:val="16"/>
                <w:szCs w:val="16"/>
              </w:rPr>
              <w:t>高</w:t>
            </w:r>
          </w:p>
        </w:tc>
      </w:tr>
      <w:tr w14:paraId="77E52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4D5F0659">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8</w:t>
            </w:r>
          </w:p>
        </w:tc>
        <w:tc>
          <w:tcPr>
            <w:tcW w:w="2672" w:type="dxa"/>
          </w:tcPr>
          <w:p w14:paraId="3D7DA56A">
            <w:pPr>
              <w:numPr>
                <w:ilvl w:val="0"/>
                <w:numId w:val="0"/>
              </w:numPr>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健康权</w:t>
            </w:r>
          </w:p>
        </w:tc>
        <w:tc>
          <w:tcPr>
            <w:tcW w:w="1704" w:type="dxa"/>
            <w:vAlign w:val="top"/>
          </w:tcPr>
          <w:p w14:paraId="7994316C">
            <w:pPr>
              <w:numPr>
                <w:ilvl w:val="0"/>
                <w:numId w:val="0"/>
              </w:numPr>
              <w:ind w:left="0" w:leftChars="0" w:firstLine="0" w:firstLineChars="0"/>
              <w:jc w:val="center"/>
              <w:rPr>
                <w:rFonts w:hint="eastAsia"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按制度执行</w:t>
            </w:r>
          </w:p>
        </w:tc>
        <w:tc>
          <w:tcPr>
            <w:tcW w:w="1705" w:type="dxa"/>
            <w:vAlign w:val="top"/>
          </w:tcPr>
          <w:p w14:paraId="287126FE">
            <w:pPr>
              <w:numPr>
                <w:ilvl w:val="0"/>
                <w:numId w:val="0"/>
              </w:numPr>
              <w:ind w:left="0" w:leftChars="0" w:firstLine="0" w:firstLineChars="0"/>
              <w:jc w:val="both"/>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147D1674">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705BD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165AF750">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9</w:t>
            </w:r>
          </w:p>
        </w:tc>
        <w:tc>
          <w:tcPr>
            <w:tcW w:w="2672" w:type="dxa"/>
          </w:tcPr>
          <w:p w14:paraId="49849390">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食物权</w:t>
            </w:r>
          </w:p>
        </w:tc>
        <w:tc>
          <w:tcPr>
            <w:tcW w:w="1704" w:type="dxa"/>
            <w:vAlign w:val="top"/>
          </w:tcPr>
          <w:p w14:paraId="16D62D1E">
            <w:pPr>
              <w:numPr>
                <w:ilvl w:val="0"/>
                <w:numId w:val="0"/>
              </w:numPr>
              <w:ind w:left="0" w:leftChars="0" w:firstLine="0" w:firstLineChars="0"/>
              <w:jc w:val="center"/>
              <w:rPr>
                <w:rFonts w:hint="eastAsia"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按制度执行</w:t>
            </w:r>
          </w:p>
        </w:tc>
        <w:tc>
          <w:tcPr>
            <w:tcW w:w="1705" w:type="dxa"/>
            <w:vAlign w:val="top"/>
          </w:tcPr>
          <w:p w14:paraId="1916A331">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27DA5A9E">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43F8B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4A98E4F5">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10</w:t>
            </w:r>
          </w:p>
        </w:tc>
        <w:tc>
          <w:tcPr>
            <w:tcW w:w="2672" w:type="dxa"/>
          </w:tcPr>
          <w:p w14:paraId="5931DD17">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接受培训权</w:t>
            </w:r>
          </w:p>
        </w:tc>
        <w:tc>
          <w:tcPr>
            <w:tcW w:w="1704" w:type="dxa"/>
            <w:vAlign w:val="top"/>
          </w:tcPr>
          <w:p w14:paraId="1983AF27">
            <w:pPr>
              <w:numPr>
                <w:ilvl w:val="0"/>
                <w:numId w:val="0"/>
              </w:numPr>
              <w:ind w:left="0" w:leftChars="0" w:firstLine="0" w:firstLineChars="0"/>
              <w:jc w:val="center"/>
              <w:rPr>
                <w:rFonts w:hint="default"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03F29329">
            <w:pPr>
              <w:numPr>
                <w:ilvl w:val="0"/>
                <w:numId w:val="0"/>
              </w:numPr>
              <w:ind w:left="0" w:leftChars="0" w:firstLine="0" w:firstLineChars="0"/>
              <w:jc w:val="both"/>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4D37A51E">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04146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3DCC5579">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11</w:t>
            </w:r>
          </w:p>
        </w:tc>
        <w:tc>
          <w:tcPr>
            <w:tcW w:w="2672" w:type="dxa"/>
          </w:tcPr>
          <w:p w14:paraId="29EA4A25">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居住自由</w:t>
            </w:r>
          </w:p>
        </w:tc>
        <w:tc>
          <w:tcPr>
            <w:tcW w:w="1704" w:type="dxa"/>
            <w:vAlign w:val="top"/>
          </w:tcPr>
          <w:p w14:paraId="5C88454F">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30ECD34D">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71FC0470">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48C16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35492F74">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12</w:t>
            </w:r>
          </w:p>
        </w:tc>
        <w:tc>
          <w:tcPr>
            <w:tcW w:w="2672" w:type="dxa"/>
          </w:tcPr>
          <w:p w14:paraId="0C578DB7">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宗教自由</w:t>
            </w:r>
          </w:p>
        </w:tc>
        <w:tc>
          <w:tcPr>
            <w:tcW w:w="1704" w:type="dxa"/>
            <w:vAlign w:val="top"/>
          </w:tcPr>
          <w:p w14:paraId="29E7ACC7">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20073EA6">
            <w:pPr>
              <w:numPr>
                <w:ilvl w:val="0"/>
                <w:numId w:val="0"/>
              </w:numPr>
              <w:ind w:left="0" w:leftChars="0" w:firstLine="0" w:firstLineChars="0"/>
              <w:jc w:val="both"/>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750E45A7">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6949C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778F9A18">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13</w:t>
            </w:r>
          </w:p>
        </w:tc>
        <w:tc>
          <w:tcPr>
            <w:tcW w:w="2672" w:type="dxa"/>
          </w:tcPr>
          <w:p w14:paraId="5A37643F">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结社自由</w:t>
            </w:r>
          </w:p>
        </w:tc>
        <w:tc>
          <w:tcPr>
            <w:tcW w:w="1704" w:type="dxa"/>
            <w:vAlign w:val="top"/>
          </w:tcPr>
          <w:p w14:paraId="5FA657F5">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1E814B82">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64515A0F">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51C09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025718F7">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14</w:t>
            </w:r>
          </w:p>
        </w:tc>
        <w:tc>
          <w:tcPr>
            <w:tcW w:w="2672" w:type="dxa"/>
          </w:tcPr>
          <w:p w14:paraId="5D187508">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加入工会权利</w:t>
            </w:r>
          </w:p>
        </w:tc>
        <w:tc>
          <w:tcPr>
            <w:tcW w:w="1704" w:type="dxa"/>
            <w:vAlign w:val="top"/>
          </w:tcPr>
          <w:p w14:paraId="0D082C5F">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521BC55F">
            <w:pPr>
              <w:numPr>
                <w:ilvl w:val="0"/>
                <w:numId w:val="0"/>
              </w:numPr>
              <w:ind w:left="0" w:leftChars="0" w:firstLine="0" w:firstLineChars="0"/>
              <w:jc w:val="both"/>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7BF5160D">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01A19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4772EC47">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15</w:t>
            </w:r>
          </w:p>
        </w:tc>
        <w:tc>
          <w:tcPr>
            <w:tcW w:w="2672" w:type="dxa"/>
          </w:tcPr>
          <w:p w14:paraId="71A9A996">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集会自由</w:t>
            </w:r>
          </w:p>
        </w:tc>
        <w:tc>
          <w:tcPr>
            <w:tcW w:w="1704" w:type="dxa"/>
            <w:vAlign w:val="top"/>
          </w:tcPr>
          <w:p w14:paraId="7CCA2B36">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7A8A1225">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1851C724">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3B3B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480BD72A">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16</w:t>
            </w:r>
          </w:p>
        </w:tc>
        <w:tc>
          <w:tcPr>
            <w:tcW w:w="2672" w:type="dxa"/>
          </w:tcPr>
          <w:p w14:paraId="7E0C1B2F">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罢工权</w:t>
            </w:r>
          </w:p>
        </w:tc>
        <w:tc>
          <w:tcPr>
            <w:tcW w:w="1704" w:type="dxa"/>
            <w:vAlign w:val="top"/>
          </w:tcPr>
          <w:p w14:paraId="59F433DD">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7C5117AD">
            <w:pPr>
              <w:numPr>
                <w:ilvl w:val="0"/>
                <w:numId w:val="0"/>
              </w:numPr>
              <w:ind w:left="0" w:leftChars="0" w:firstLine="0" w:firstLineChars="0"/>
              <w:jc w:val="both"/>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449C76F8">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3823A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57636ACD">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17</w:t>
            </w:r>
          </w:p>
        </w:tc>
        <w:tc>
          <w:tcPr>
            <w:tcW w:w="2672" w:type="dxa"/>
          </w:tcPr>
          <w:p w14:paraId="58D075F7">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不歧视</w:t>
            </w:r>
          </w:p>
        </w:tc>
        <w:tc>
          <w:tcPr>
            <w:tcW w:w="1704" w:type="dxa"/>
            <w:vAlign w:val="top"/>
          </w:tcPr>
          <w:p w14:paraId="3185F7B1">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按制度执行</w:t>
            </w:r>
          </w:p>
        </w:tc>
        <w:tc>
          <w:tcPr>
            <w:tcW w:w="1705" w:type="dxa"/>
            <w:vAlign w:val="top"/>
          </w:tcPr>
          <w:p w14:paraId="777062B1">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7349EFC9">
            <w:pPr>
              <w:numPr>
                <w:ilvl w:val="0"/>
                <w:numId w:val="0"/>
              </w:numPr>
              <w:ind w:left="0" w:leftChars="0" w:firstLine="0" w:firstLineChars="0"/>
              <w:jc w:val="center"/>
              <w:rPr>
                <w:rFonts w:ascii="宋体" w:hAnsi="宋体" w:eastAsia="宋体" w:cs="宋体"/>
                <w:sz w:val="16"/>
                <w:szCs w:val="16"/>
              </w:rPr>
            </w:pPr>
            <w:r>
              <w:rPr>
                <w:rFonts w:ascii="宋体" w:hAnsi="宋体" w:eastAsia="宋体" w:cs="宋体"/>
                <w:sz w:val="16"/>
                <w:szCs w:val="16"/>
              </w:rPr>
              <w:t>高</w:t>
            </w:r>
          </w:p>
        </w:tc>
      </w:tr>
      <w:tr w14:paraId="521A8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5CE7BC3A">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18</w:t>
            </w:r>
          </w:p>
        </w:tc>
        <w:tc>
          <w:tcPr>
            <w:tcW w:w="2672" w:type="dxa"/>
          </w:tcPr>
          <w:p w14:paraId="0422305F">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隐私权</w:t>
            </w:r>
          </w:p>
        </w:tc>
        <w:tc>
          <w:tcPr>
            <w:tcW w:w="1704" w:type="dxa"/>
            <w:vAlign w:val="top"/>
          </w:tcPr>
          <w:p w14:paraId="2A45F642">
            <w:pPr>
              <w:numPr>
                <w:ilvl w:val="0"/>
                <w:numId w:val="0"/>
              </w:numPr>
              <w:ind w:left="0" w:leftChars="0" w:firstLine="0" w:firstLineChars="0"/>
              <w:jc w:val="center"/>
              <w:rPr>
                <w:rFonts w:hint="eastAsia"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按制度执行</w:t>
            </w:r>
          </w:p>
        </w:tc>
        <w:tc>
          <w:tcPr>
            <w:tcW w:w="1705" w:type="dxa"/>
            <w:vAlign w:val="top"/>
          </w:tcPr>
          <w:p w14:paraId="7A61F228">
            <w:pPr>
              <w:numPr>
                <w:ilvl w:val="0"/>
                <w:numId w:val="0"/>
              </w:numPr>
              <w:ind w:left="0" w:leftChars="0" w:firstLine="0" w:firstLineChars="0"/>
              <w:jc w:val="both"/>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6ED79A28">
            <w:pPr>
              <w:numPr>
                <w:ilvl w:val="0"/>
                <w:numId w:val="0"/>
              </w:numPr>
              <w:ind w:left="0" w:leftChars="0" w:firstLine="0" w:firstLineChars="0"/>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高</w:t>
            </w:r>
          </w:p>
        </w:tc>
      </w:tr>
      <w:tr w14:paraId="29A1D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7F41B58D">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19</w:t>
            </w:r>
          </w:p>
        </w:tc>
        <w:tc>
          <w:tcPr>
            <w:tcW w:w="2672" w:type="dxa"/>
          </w:tcPr>
          <w:p w14:paraId="75AE2613">
            <w:pPr>
              <w:numPr>
                <w:ilvl w:val="0"/>
                <w:numId w:val="0"/>
              </w:numPr>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不受骚扰权</w:t>
            </w:r>
          </w:p>
        </w:tc>
        <w:tc>
          <w:tcPr>
            <w:tcW w:w="1704" w:type="dxa"/>
            <w:vAlign w:val="top"/>
          </w:tcPr>
          <w:p w14:paraId="42F74656">
            <w:pPr>
              <w:numPr>
                <w:ilvl w:val="0"/>
                <w:numId w:val="0"/>
              </w:numPr>
              <w:ind w:left="0" w:leftChars="0" w:firstLine="0" w:firstLineChars="0"/>
              <w:jc w:val="center"/>
              <w:rPr>
                <w:rFonts w:hint="eastAsia"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按制度执行</w:t>
            </w:r>
          </w:p>
        </w:tc>
        <w:tc>
          <w:tcPr>
            <w:tcW w:w="1705" w:type="dxa"/>
            <w:vAlign w:val="top"/>
          </w:tcPr>
          <w:p w14:paraId="2B1A562B">
            <w:pPr>
              <w:numPr>
                <w:ilvl w:val="0"/>
                <w:numId w:val="0"/>
              </w:numPr>
              <w:ind w:left="0" w:leftChars="0" w:firstLine="0" w:firstLineChars="0"/>
              <w:jc w:val="center"/>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1D628B8B">
            <w:pPr>
              <w:numPr>
                <w:ilvl w:val="0"/>
                <w:numId w:val="0"/>
              </w:numPr>
              <w:ind w:left="0" w:leftChars="0" w:firstLine="0" w:firstLineChars="0"/>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高</w:t>
            </w:r>
          </w:p>
        </w:tc>
      </w:tr>
      <w:tr w14:paraId="30A454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2368243B">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20</w:t>
            </w:r>
          </w:p>
        </w:tc>
        <w:tc>
          <w:tcPr>
            <w:tcW w:w="2672" w:type="dxa"/>
          </w:tcPr>
          <w:p w14:paraId="097024FD">
            <w:pPr>
              <w:numPr>
                <w:ilvl w:val="0"/>
                <w:numId w:val="0"/>
              </w:numPr>
              <w:jc w:val="center"/>
              <w:rPr>
                <w:rFonts w:hint="eastAsia" w:ascii="宋体" w:hAnsi="宋体" w:eastAsia="宋体" w:cs="宋体"/>
                <w:sz w:val="16"/>
                <w:szCs w:val="16"/>
                <w:lang w:val="en-US" w:eastAsia="zh-CN"/>
              </w:rPr>
            </w:pPr>
            <w:r>
              <w:rPr>
                <w:rFonts w:ascii="宋体" w:hAnsi="宋体" w:eastAsia="宋体" w:cs="宋体"/>
                <w:sz w:val="16"/>
                <w:szCs w:val="16"/>
              </w:rPr>
              <w:t>免于有辱人格的待遇和酷刑</w:t>
            </w:r>
          </w:p>
        </w:tc>
        <w:tc>
          <w:tcPr>
            <w:tcW w:w="1704" w:type="dxa"/>
            <w:vAlign w:val="top"/>
          </w:tcPr>
          <w:p w14:paraId="6A98B146">
            <w:pPr>
              <w:numPr>
                <w:ilvl w:val="0"/>
                <w:numId w:val="0"/>
              </w:numPr>
              <w:ind w:left="0" w:leftChars="0" w:firstLine="0" w:firstLineChars="0"/>
              <w:jc w:val="center"/>
              <w:rPr>
                <w:rFonts w:hint="eastAsia"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按制度执行</w:t>
            </w:r>
          </w:p>
        </w:tc>
        <w:tc>
          <w:tcPr>
            <w:tcW w:w="1705" w:type="dxa"/>
            <w:vAlign w:val="top"/>
          </w:tcPr>
          <w:p w14:paraId="15216A10">
            <w:pPr>
              <w:numPr>
                <w:ilvl w:val="0"/>
                <w:numId w:val="0"/>
              </w:numPr>
              <w:ind w:left="0" w:leftChars="0" w:firstLine="0" w:firstLineChars="0"/>
              <w:jc w:val="both"/>
              <w:rPr>
                <w:rFonts w:hint="eastAsia" w:ascii="宋体" w:hAnsi="宋体" w:eastAsia="宋体" w:cs="宋体"/>
                <w:kern w:val="2"/>
                <w:sz w:val="16"/>
                <w:szCs w:val="16"/>
                <w:vertAlign w:val="baseline"/>
                <w:lang w:val="en-US" w:eastAsia="zh-CN" w:bidi="ar-SA"/>
              </w:rPr>
            </w:pPr>
            <w:r>
              <w:rPr>
                <w:rFonts w:hint="eastAsia" w:ascii="宋体" w:hAnsi="宋体" w:eastAsia="宋体" w:cs="宋体"/>
                <w:sz w:val="16"/>
                <w:szCs w:val="16"/>
                <w:vertAlign w:val="baseline"/>
                <w:lang w:val="en-US" w:eastAsia="zh-CN"/>
              </w:rPr>
              <w:t xml:space="preserve">      建立制度</w:t>
            </w:r>
          </w:p>
        </w:tc>
        <w:tc>
          <w:tcPr>
            <w:tcW w:w="1705" w:type="dxa"/>
            <w:vAlign w:val="top"/>
          </w:tcPr>
          <w:p w14:paraId="3880DD8E">
            <w:pPr>
              <w:numPr>
                <w:ilvl w:val="0"/>
                <w:numId w:val="0"/>
              </w:numPr>
              <w:ind w:left="0" w:leftChars="0" w:firstLine="0" w:firstLineChars="0"/>
              <w:jc w:val="center"/>
              <w:rPr>
                <w:rFonts w:ascii="宋体" w:hAnsi="宋体" w:eastAsia="宋体" w:cs="宋体"/>
                <w:sz w:val="16"/>
                <w:szCs w:val="16"/>
              </w:rPr>
            </w:pPr>
            <w:r>
              <w:rPr>
                <w:rFonts w:hint="eastAsia" w:ascii="宋体" w:hAnsi="宋体" w:eastAsia="宋体" w:cs="宋体"/>
                <w:sz w:val="16"/>
                <w:szCs w:val="16"/>
                <w:lang w:val="en-US" w:eastAsia="zh-CN"/>
              </w:rPr>
              <w:t>高</w:t>
            </w:r>
          </w:p>
        </w:tc>
      </w:tr>
      <w:tr w14:paraId="612CE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70DB6305">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21</w:t>
            </w:r>
          </w:p>
        </w:tc>
        <w:tc>
          <w:tcPr>
            <w:tcW w:w="2672" w:type="dxa"/>
          </w:tcPr>
          <w:p w14:paraId="7B4F37DF">
            <w:pPr>
              <w:numPr>
                <w:ilvl w:val="0"/>
                <w:numId w:val="0"/>
              </w:numPr>
              <w:jc w:val="center"/>
              <w:rPr>
                <w:rFonts w:hint="eastAsia" w:ascii="宋体" w:hAnsi="宋体" w:eastAsia="宋体" w:cs="宋体"/>
                <w:sz w:val="16"/>
                <w:szCs w:val="16"/>
                <w:lang w:val="en-US" w:eastAsia="zh-CN"/>
              </w:rPr>
            </w:pPr>
            <w:r>
              <w:rPr>
                <w:rFonts w:ascii="宋体" w:hAnsi="宋体" w:eastAsia="宋体" w:cs="宋体"/>
                <w:sz w:val="16"/>
                <w:szCs w:val="16"/>
              </w:rPr>
              <w:t>土地征用与重新安置</w:t>
            </w:r>
          </w:p>
        </w:tc>
        <w:tc>
          <w:tcPr>
            <w:tcW w:w="1704" w:type="dxa"/>
            <w:vAlign w:val="top"/>
          </w:tcPr>
          <w:p w14:paraId="012B69DC">
            <w:pPr>
              <w:numPr>
                <w:ilvl w:val="0"/>
                <w:numId w:val="0"/>
              </w:numPr>
              <w:ind w:left="0" w:leftChars="0" w:firstLine="0" w:firstLineChars="0"/>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w:t>
            </w:r>
          </w:p>
        </w:tc>
        <w:tc>
          <w:tcPr>
            <w:tcW w:w="1705" w:type="dxa"/>
            <w:vAlign w:val="top"/>
          </w:tcPr>
          <w:p w14:paraId="1373A0D6">
            <w:pPr>
              <w:numPr>
                <w:ilvl w:val="0"/>
                <w:numId w:val="0"/>
              </w:numPr>
              <w:ind w:left="0" w:leftChars="0" w:firstLine="0" w:firstLineChars="0"/>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建立制度</w:t>
            </w:r>
          </w:p>
        </w:tc>
        <w:tc>
          <w:tcPr>
            <w:tcW w:w="1705" w:type="dxa"/>
            <w:vAlign w:val="top"/>
          </w:tcPr>
          <w:p w14:paraId="743D891C">
            <w:pPr>
              <w:numPr>
                <w:ilvl w:val="0"/>
                <w:numId w:val="0"/>
              </w:numPr>
              <w:ind w:left="0" w:leftChars="0" w:firstLine="0" w:firstLineChars="0"/>
              <w:jc w:val="center"/>
              <w:rPr>
                <w:rFonts w:hint="default" w:ascii="宋体" w:hAnsi="宋体" w:eastAsia="宋体" w:cs="宋体"/>
                <w:sz w:val="16"/>
                <w:szCs w:val="16"/>
                <w:lang w:val="en-US" w:eastAsia="zh-CN"/>
              </w:rPr>
            </w:pPr>
            <w:r>
              <w:rPr>
                <w:rFonts w:hint="eastAsia" w:ascii="宋体" w:hAnsi="宋体" w:eastAsia="宋体" w:cs="宋体"/>
                <w:sz w:val="16"/>
                <w:szCs w:val="16"/>
                <w:lang w:val="en-US" w:eastAsia="zh-CN"/>
              </w:rPr>
              <w:t>--</w:t>
            </w:r>
          </w:p>
        </w:tc>
      </w:tr>
      <w:tr w14:paraId="2953C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02DCF0BD">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22</w:t>
            </w:r>
          </w:p>
        </w:tc>
        <w:tc>
          <w:tcPr>
            <w:tcW w:w="2672" w:type="dxa"/>
          </w:tcPr>
          <w:p w14:paraId="7F1E7101">
            <w:pPr>
              <w:numPr>
                <w:ilvl w:val="0"/>
                <w:numId w:val="0"/>
              </w:numPr>
              <w:jc w:val="center"/>
              <w:rPr>
                <w:rFonts w:hint="eastAsia" w:ascii="宋体" w:hAnsi="宋体" w:eastAsia="宋体" w:cs="宋体"/>
                <w:sz w:val="16"/>
                <w:szCs w:val="16"/>
                <w:lang w:val="en-US" w:eastAsia="zh-CN"/>
              </w:rPr>
            </w:pPr>
            <w:r>
              <w:rPr>
                <w:rFonts w:ascii="宋体" w:hAnsi="宋体" w:eastAsia="宋体" w:cs="宋体"/>
                <w:sz w:val="16"/>
                <w:szCs w:val="16"/>
              </w:rPr>
              <w:t>周边社区健康与安全</w:t>
            </w:r>
          </w:p>
        </w:tc>
        <w:tc>
          <w:tcPr>
            <w:tcW w:w="1704" w:type="dxa"/>
            <w:vAlign w:val="top"/>
          </w:tcPr>
          <w:p w14:paraId="4F9B4B74">
            <w:pPr>
              <w:numPr>
                <w:ilvl w:val="0"/>
                <w:numId w:val="0"/>
              </w:numPr>
              <w:ind w:left="0" w:leftChars="0" w:firstLine="0" w:firstLineChars="0"/>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w:t>
            </w:r>
          </w:p>
        </w:tc>
        <w:tc>
          <w:tcPr>
            <w:tcW w:w="1705" w:type="dxa"/>
            <w:vAlign w:val="top"/>
          </w:tcPr>
          <w:p w14:paraId="5154ACC6">
            <w:pPr>
              <w:numPr>
                <w:ilvl w:val="0"/>
                <w:numId w:val="0"/>
              </w:numPr>
              <w:ind w:left="0" w:leftChars="0" w:firstLine="0" w:firstLineChars="0"/>
              <w:jc w:val="both"/>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 xml:space="preserve">   环境评估报告</w:t>
            </w:r>
          </w:p>
        </w:tc>
        <w:tc>
          <w:tcPr>
            <w:tcW w:w="1705" w:type="dxa"/>
            <w:vAlign w:val="top"/>
          </w:tcPr>
          <w:p w14:paraId="3D3B4E68">
            <w:pPr>
              <w:numPr>
                <w:ilvl w:val="0"/>
                <w:numId w:val="0"/>
              </w:numPr>
              <w:ind w:left="0" w:leftChars="0" w:firstLine="0" w:firstLineChars="0"/>
              <w:jc w:val="center"/>
              <w:rPr>
                <w:rFonts w:ascii="宋体" w:hAnsi="宋体" w:eastAsia="宋体" w:cs="宋体"/>
                <w:sz w:val="16"/>
                <w:szCs w:val="16"/>
              </w:rPr>
            </w:pPr>
            <w:r>
              <w:rPr>
                <w:rFonts w:hint="eastAsia" w:ascii="宋体" w:hAnsi="宋体" w:eastAsia="宋体" w:cs="宋体"/>
                <w:sz w:val="16"/>
                <w:szCs w:val="16"/>
                <w:lang w:val="en-US" w:eastAsia="zh-CN"/>
              </w:rPr>
              <w:t>高</w:t>
            </w:r>
          </w:p>
        </w:tc>
      </w:tr>
      <w:tr w14:paraId="7B302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6" w:type="dxa"/>
          </w:tcPr>
          <w:p w14:paraId="1F46CB99">
            <w:pPr>
              <w:numPr>
                <w:ilvl w:val="0"/>
                <w:numId w:val="0"/>
              </w:numPr>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23</w:t>
            </w:r>
          </w:p>
        </w:tc>
        <w:tc>
          <w:tcPr>
            <w:tcW w:w="2672" w:type="dxa"/>
          </w:tcPr>
          <w:p w14:paraId="06351751">
            <w:pPr>
              <w:numPr>
                <w:ilvl w:val="0"/>
                <w:numId w:val="0"/>
              </w:numPr>
              <w:jc w:val="center"/>
              <w:rPr>
                <w:rFonts w:hint="eastAsia" w:ascii="宋体" w:hAnsi="宋体" w:eastAsia="宋体" w:cs="宋体"/>
                <w:sz w:val="16"/>
                <w:szCs w:val="16"/>
                <w:lang w:val="en-US" w:eastAsia="zh-CN"/>
              </w:rPr>
            </w:pPr>
            <w:r>
              <w:rPr>
                <w:rFonts w:ascii="宋体" w:hAnsi="宋体" w:eastAsia="宋体" w:cs="宋体"/>
                <w:sz w:val="16"/>
                <w:szCs w:val="16"/>
              </w:rPr>
              <w:t>周边社区环境保护</w:t>
            </w:r>
          </w:p>
        </w:tc>
        <w:tc>
          <w:tcPr>
            <w:tcW w:w="1704" w:type="dxa"/>
            <w:vAlign w:val="top"/>
          </w:tcPr>
          <w:p w14:paraId="0C29D9C3">
            <w:pPr>
              <w:numPr>
                <w:ilvl w:val="0"/>
                <w:numId w:val="0"/>
              </w:numPr>
              <w:ind w:left="0" w:leftChars="0" w:firstLine="0" w:firstLineChars="0"/>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w:t>
            </w:r>
          </w:p>
        </w:tc>
        <w:tc>
          <w:tcPr>
            <w:tcW w:w="1705" w:type="dxa"/>
            <w:vAlign w:val="top"/>
          </w:tcPr>
          <w:p w14:paraId="521DDB7F">
            <w:pPr>
              <w:numPr>
                <w:ilvl w:val="0"/>
                <w:numId w:val="0"/>
              </w:numPr>
              <w:ind w:left="0" w:leftChars="0" w:firstLine="0" w:firstLineChars="0"/>
              <w:jc w:val="center"/>
              <w:rPr>
                <w:rFonts w:hint="default" w:ascii="宋体" w:hAnsi="宋体" w:eastAsia="宋体" w:cs="宋体"/>
                <w:sz w:val="16"/>
                <w:szCs w:val="16"/>
                <w:vertAlign w:val="baseline"/>
                <w:lang w:val="en-US" w:eastAsia="zh-CN"/>
              </w:rPr>
            </w:pPr>
            <w:r>
              <w:rPr>
                <w:rFonts w:hint="eastAsia" w:ascii="宋体" w:hAnsi="宋体" w:eastAsia="宋体" w:cs="宋体"/>
                <w:sz w:val="16"/>
                <w:szCs w:val="16"/>
                <w:vertAlign w:val="baseline"/>
                <w:lang w:val="en-US" w:eastAsia="zh-CN"/>
              </w:rPr>
              <w:t>环境评估报告</w:t>
            </w:r>
          </w:p>
        </w:tc>
        <w:tc>
          <w:tcPr>
            <w:tcW w:w="1705" w:type="dxa"/>
            <w:vAlign w:val="top"/>
          </w:tcPr>
          <w:p w14:paraId="156C6149">
            <w:pPr>
              <w:numPr>
                <w:ilvl w:val="0"/>
                <w:numId w:val="0"/>
              </w:numPr>
              <w:ind w:left="0" w:leftChars="0" w:firstLine="0" w:firstLineChars="0"/>
              <w:jc w:val="center"/>
              <w:rPr>
                <w:rFonts w:hint="eastAsia" w:ascii="宋体" w:hAnsi="宋体" w:eastAsia="宋体" w:cs="宋体"/>
                <w:sz w:val="16"/>
                <w:szCs w:val="16"/>
                <w:lang w:val="en-US" w:eastAsia="zh-CN"/>
              </w:rPr>
            </w:pPr>
            <w:r>
              <w:rPr>
                <w:rFonts w:hint="eastAsia" w:ascii="宋体" w:hAnsi="宋体" w:eastAsia="宋体" w:cs="宋体"/>
                <w:sz w:val="16"/>
                <w:szCs w:val="16"/>
                <w:lang w:val="en-US" w:eastAsia="zh-CN"/>
              </w:rPr>
              <w:t>高</w:t>
            </w:r>
          </w:p>
        </w:tc>
      </w:tr>
    </w:tbl>
    <w:p w14:paraId="154A2AF7">
      <w:pPr>
        <w:numPr>
          <w:ilvl w:val="0"/>
          <w:numId w:val="0"/>
        </w:numPr>
        <w:ind w:leftChars="0"/>
        <w:jc w:val="both"/>
        <w:rPr>
          <w:rFonts w:ascii="宋体" w:hAnsi="宋体" w:eastAsia="宋体" w:cs="宋体"/>
          <w:sz w:val="28"/>
          <w:szCs w:val="28"/>
        </w:rPr>
      </w:pPr>
    </w:p>
    <w:p w14:paraId="1ED464F2">
      <w:pPr>
        <w:numPr>
          <w:ilvl w:val="0"/>
          <w:numId w:val="1"/>
        </w:numPr>
        <w:ind w:left="0" w:leftChars="0" w:firstLine="0" w:firstLineChars="0"/>
        <w:rPr>
          <w:rFonts w:ascii="宋体" w:hAnsi="宋体" w:eastAsia="宋体" w:cs="宋体"/>
          <w:b/>
          <w:bCs/>
          <w:sz w:val="28"/>
          <w:szCs w:val="28"/>
        </w:rPr>
      </w:pPr>
      <w:r>
        <w:rPr>
          <w:rFonts w:ascii="宋体" w:hAnsi="宋体" w:eastAsia="宋体" w:cs="宋体"/>
          <w:b/>
          <w:bCs/>
          <w:sz w:val="28"/>
          <w:szCs w:val="28"/>
        </w:rPr>
        <w:t>高影响力人权的原因分析</w:t>
      </w:r>
    </w:p>
    <w:p w14:paraId="2D6C0EA6">
      <w:pPr>
        <w:numPr>
          <w:ilvl w:val="0"/>
          <w:numId w:val="3"/>
        </w:numPr>
        <w:ind w:left="140" w:leftChars="0" w:firstLine="0" w:firstLineChars="0"/>
        <w:rPr>
          <w:rFonts w:ascii="宋体" w:hAnsi="宋体" w:eastAsia="宋体" w:cs="宋体"/>
          <w:sz w:val="28"/>
          <w:szCs w:val="28"/>
        </w:rPr>
      </w:pPr>
      <w:r>
        <w:rPr>
          <w:rFonts w:ascii="宋体" w:hAnsi="宋体" w:eastAsia="宋体" w:cs="宋体"/>
          <w:sz w:val="28"/>
          <w:szCs w:val="28"/>
        </w:rPr>
        <w:t xml:space="preserve">立法保障 </w:t>
      </w:r>
    </w:p>
    <w:p w14:paraId="75E5C3C9">
      <w:pPr>
        <w:numPr>
          <w:ilvl w:val="0"/>
          <w:numId w:val="0"/>
        </w:numPr>
        <w:ind w:left="140" w:leftChars="0" w:firstLine="560" w:firstLineChars="200"/>
        <w:rPr>
          <w:rFonts w:ascii="宋体" w:hAnsi="宋体" w:eastAsia="宋体" w:cs="宋体"/>
          <w:sz w:val="28"/>
          <w:szCs w:val="28"/>
        </w:rPr>
      </w:pPr>
      <w:r>
        <w:rPr>
          <w:rFonts w:ascii="宋体" w:hAnsi="宋体" w:eastAsia="宋体" w:cs="宋体"/>
          <w:sz w:val="28"/>
          <w:szCs w:val="28"/>
        </w:rPr>
        <w:t xml:space="preserve">国家不断完善发展以宪法为核心、以法律为主干的法律体系，为保障人权夯实法治基础。公民的生命权、人身权、财产权，基本政治权利和自由，劳动权、受教育权、社会保 障权、土地征用与重新安置、环境保护等各方面权利，通过立法得到了切实维护和保障。 2、人权方针 </w:t>
      </w:r>
    </w:p>
    <w:p w14:paraId="2DB4D7D4">
      <w:pPr>
        <w:numPr>
          <w:ilvl w:val="0"/>
          <w:numId w:val="0"/>
        </w:numPr>
        <w:ind w:firstLine="560" w:firstLineChars="200"/>
        <w:rPr>
          <w:rFonts w:ascii="宋体" w:hAnsi="宋体" w:eastAsia="宋体" w:cs="宋体"/>
          <w:sz w:val="28"/>
          <w:szCs w:val="28"/>
        </w:rPr>
      </w:pPr>
      <w:r>
        <w:rPr>
          <w:rFonts w:hint="eastAsia" w:ascii="宋体" w:hAnsi="宋体" w:eastAsia="宋体" w:cs="宋体"/>
          <w:sz w:val="28"/>
          <w:szCs w:val="28"/>
          <w:lang w:eastAsia="zh-CN"/>
        </w:rPr>
        <w:t>公司</w:t>
      </w:r>
      <w:r>
        <w:rPr>
          <w:rFonts w:hint="eastAsia" w:ascii="宋体" w:hAnsi="宋体" w:eastAsia="宋体" w:cs="宋体"/>
          <w:sz w:val="28"/>
          <w:szCs w:val="28"/>
          <w:lang w:val="en-US" w:eastAsia="zh-CN"/>
        </w:rPr>
        <w:t>管理部</w:t>
      </w:r>
      <w:r>
        <w:rPr>
          <w:rFonts w:ascii="宋体" w:hAnsi="宋体" w:eastAsia="宋体" w:cs="宋体"/>
          <w:sz w:val="28"/>
          <w:szCs w:val="28"/>
        </w:rPr>
        <w:t>制订各</w:t>
      </w:r>
      <w:r>
        <w:rPr>
          <w:rFonts w:hint="eastAsia" w:ascii="宋体" w:hAnsi="宋体" w:eastAsia="宋体" w:cs="宋体"/>
          <w:sz w:val="28"/>
          <w:szCs w:val="28"/>
          <w:lang w:val="en-US" w:eastAsia="zh-CN"/>
        </w:rPr>
        <w:t>项</w:t>
      </w:r>
      <w:r>
        <w:rPr>
          <w:rFonts w:ascii="宋体" w:hAnsi="宋体" w:eastAsia="宋体" w:cs="宋体"/>
          <w:sz w:val="28"/>
          <w:szCs w:val="28"/>
        </w:rPr>
        <w:t>重要人权保障制度，如禁止强迫劳工、禁止童工及保护未成年工、</w:t>
      </w:r>
      <w:r>
        <w:rPr>
          <w:rFonts w:hint="eastAsia" w:ascii="宋体" w:hAnsi="宋体" w:eastAsia="宋体" w:cs="宋体"/>
          <w:sz w:val="28"/>
          <w:szCs w:val="28"/>
          <w:lang w:val="en-US" w:eastAsia="zh-CN"/>
        </w:rPr>
        <w:t>女工保护、</w:t>
      </w:r>
      <w:r>
        <w:rPr>
          <w:rFonts w:ascii="宋体" w:hAnsi="宋体" w:eastAsia="宋体" w:cs="宋体"/>
          <w:sz w:val="28"/>
          <w:szCs w:val="28"/>
        </w:rPr>
        <w:t>禁止</w:t>
      </w:r>
      <w:r>
        <w:rPr>
          <w:rFonts w:hint="eastAsia" w:ascii="宋体" w:hAnsi="宋体" w:eastAsia="宋体" w:cs="宋体"/>
          <w:sz w:val="28"/>
          <w:szCs w:val="28"/>
          <w:lang w:val="en-US" w:eastAsia="zh-CN"/>
        </w:rPr>
        <w:t>强迫劳动</w:t>
      </w:r>
      <w:r>
        <w:rPr>
          <w:rFonts w:ascii="宋体" w:hAnsi="宋体" w:eastAsia="宋体" w:cs="宋体"/>
          <w:sz w:val="28"/>
          <w:szCs w:val="28"/>
        </w:rPr>
        <w:t xml:space="preserve">、禁止歧视、尊重结社自由等。 </w:t>
      </w:r>
    </w:p>
    <w:p w14:paraId="114CE5CE">
      <w:pPr>
        <w:numPr>
          <w:ilvl w:val="0"/>
          <w:numId w:val="0"/>
        </w:numPr>
        <w:ind w:left="140" w:leftChars="0"/>
        <w:rPr>
          <w:rFonts w:ascii="宋体" w:hAnsi="宋体" w:eastAsia="宋体" w:cs="宋体"/>
          <w:sz w:val="28"/>
          <w:szCs w:val="28"/>
        </w:rPr>
      </w:pPr>
      <w:r>
        <w:rPr>
          <w:rFonts w:hint="eastAsia" w:ascii="宋体" w:hAnsi="宋体" w:eastAsia="宋体" w:cs="宋体"/>
          <w:sz w:val="28"/>
          <w:szCs w:val="28"/>
          <w:lang w:val="en-US" w:eastAsia="zh-CN"/>
        </w:rPr>
        <w:t>3、</w:t>
      </w:r>
      <w:r>
        <w:rPr>
          <w:rFonts w:ascii="宋体" w:hAnsi="宋体" w:eastAsia="宋体" w:cs="宋体"/>
          <w:sz w:val="28"/>
          <w:szCs w:val="28"/>
        </w:rPr>
        <w:t xml:space="preserve">合规性评价 </w:t>
      </w:r>
    </w:p>
    <w:p w14:paraId="7D8128A3">
      <w:pPr>
        <w:numPr>
          <w:ilvl w:val="0"/>
          <w:numId w:val="0"/>
        </w:numPr>
        <w:ind w:left="140" w:leftChars="0" w:firstLine="560" w:firstLineChars="200"/>
        <w:rPr>
          <w:rFonts w:ascii="宋体" w:hAnsi="宋体" w:eastAsia="宋体" w:cs="宋体"/>
          <w:sz w:val="28"/>
          <w:szCs w:val="28"/>
        </w:rPr>
      </w:pPr>
      <w:r>
        <w:rPr>
          <w:rFonts w:hint="eastAsia" w:ascii="宋体" w:hAnsi="宋体" w:eastAsia="宋体" w:cs="宋体"/>
          <w:sz w:val="28"/>
          <w:szCs w:val="28"/>
          <w:lang w:eastAsia="zh-CN"/>
        </w:rPr>
        <w:t>公司</w:t>
      </w:r>
      <w:r>
        <w:rPr>
          <w:rFonts w:ascii="宋体" w:hAnsi="宋体" w:eastAsia="宋体" w:cs="宋体"/>
          <w:sz w:val="28"/>
          <w:szCs w:val="28"/>
        </w:rPr>
        <w:t>通过建立和实施“法律法规合规</w:t>
      </w:r>
      <w:r>
        <w:rPr>
          <w:rFonts w:hint="eastAsia" w:ascii="宋体" w:hAnsi="宋体" w:eastAsia="宋体" w:cs="宋体"/>
          <w:sz w:val="28"/>
          <w:szCs w:val="28"/>
          <w:lang w:val="en-US" w:eastAsia="zh-CN"/>
        </w:rPr>
        <w:t>性评价</w:t>
      </w:r>
      <w:r>
        <w:rPr>
          <w:rFonts w:ascii="宋体" w:hAnsi="宋体" w:eastAsia="宋体" w:cs="宋体"/>
          <w:sz w:val="28"/>
          <w:szCs w:val="28"/>
        </w:rPr>
        <w:t xml:space="preserve">”管理，识别最新的与人权议题相关的法律法规并进行合规性评价；基于人权风险识 别评估的结果，公司将采取必要的措施管控人权合规风险或在内部有效地开展预防性人权合规管理工作，使公司能在所在地区合规地开展业务、诚信经营，从而实现企业的人权合规目标，进而为实现企业可持续发展提供必要条件。 </w:t>
      </w:r>
    </w:p>
    <w:p w14:paraId="04C43DFC">
      <w:pPr>
        <w:numPr>
          <w:ilvl w:val="0"/>
          <w:numId w:val="4"/>
        </w:numPr>
        <w:rPr>
          <w:rFonts w:ascii="宋体" w:hAnsi="宋体" w:eastAsia="宋体" w:cs="宋体"/>
          <w:sz w:val="28"/>
          <w:szCs w:val="28"/>
        </w:rPr>
      </w:pPr>
      <w:r>
        <w:rPr>
          <w:rFonts w:ascii="宋体" w:hAnsi="宋体" w:eastAsia="宋体" w:cs="宋体"/>
          <w:sz w:val="28"/>
          <w:szCs w:val="28"/>
        </w:rPr>
        <w:t xml:space="preserve">健全的体系和制度 </w:t>
      </w:r>
    </w:p>
    <w:p w14:paraId="438586E9">
      <w:pPr>
        <w:numPr>
          <w:ilvl w:val="0"/>
          <w:numId w:val="0"/>
        </w:numPr>
        <w:ind w:firstLine="560" w:firstLineChars="200"/>
        <w:rPr>
          <w:rFonts w:ascii="宋体" w:hAnsi="宋体" w:eastAsia="宋体" w:cs="宋体"/>
          <w:sz w:val="28"/>
          <w:szCs w:val="28"/>
        </w:rPr>
      </w:pPr>
      <w:r>
        <w:rPr>
          <w:rFonts w:ascii="宋体" w:hAnsi="宋体" w:eastAsia="宋体" w:cs="宋体"/>
          <w:sz w:val="28"/>
          <w:szCs w:val="28"/>
        </w:rPr>
        <w:t>依据法律合规性评价的结果，</w:t>
      </w:r>
      <w:r>
        <w:rPr>
          <w:rFonts w:hint="eastAsia" w:ascii="宋体" w:hAnsi="宋体" w:eastAsia="宋体" w:cs="宋体"/>
          <w:sz w:val="28"/>
          <w:szCs w:val="28"/>
          <w:lang w:eastAsia="zh-CN"/>
        </w:rPr>
        <w:t>公司</w:t>
      </w:r>
      <w:r>
        <w:rPr>
          <w:rFonts w:hint="eastAsia" w:ascii="宋体" w:hAnsi="宋体" w:eastAsia="宋体" w:cs="宋体"/>
          <w:sz w:val="28"/>
          <w:szCs w:val="28"/>
          <w:lang w:val="en-US" w:eastAsia="zh-CN"/>
        </w:rPr>
        <w:t>各部门</w:t>
      </w:r>
      <w:r>
        <w:rPr>
          <w:rFonts w:ascii="宋体" w:hAnsi="宋体" w:eastAsia="宋体" w:cs="宋体"/>
          <w:sz w:val="28"/>
          <w:szCs w:val="28"/>
        </w:rPr>
        <w:t>制订和实施管理体系、管理制度、规定，降低或缓解公司在运营过程中可能出现的人权风险，如</w:t>
      </w:r>
      <w:r>
        <w:rPr>
          <w:rFonts w:hint="eastAsia" w:ascii="宋体" w:hAnsi="宋体" w:eastAsia="宋体" w:cs="宋体"/>
          <w:sz w:val="28"/>
          <w:szCs w:val="28"/>
          <w:lang w:val="en-US" w:eastAsia="zh-CN"/>
        </w:rPr>
        <w:t>工作场所的职业卫生检测</w:t>
      </w:r>
      <w:r>
        <w:rPr>
          <w:rFonts w:ascii="宋体" w:hAnsi="宋体" w:eastAsia="宋体" w:cs="宋体"/>
          <w:sz w:val="28"/>
          <w:szCs w:val="28"/>
        </w:rPr>
        <w:t xml:space="preserve">等。 </w:t>
      </w:r>
    </w:p>
    <w:p w14:paraId="30B8F16A">
      <w:pPr>
        <w:numPr>
          <w:ilvl w:val="0"/>
          <w:numId w:val="4"/>
        </w:numPr>
        <w:ind w:left="0" w:leftChars="0" w:firstLine="0" w:firstLineChars="0"/>
        <w:rPr>
          <w:rFonts w:ascii="宋体" w:hAnsi="宋体" w:eastAsia="宋体" w:cs="宋体"/>
          <w:sz w:val="28"/>
          <w:szCs w:val="28"/>
        </w:rPr>
      </w:pPr>
      <w:r>
        <w:rPr>
          <w:rFonts w:ascii="宋体" w:hAnsi="宋体" w:eastAsia="宋体" w:cs="宋体"/>
          <w:sz w:val="28"/>
          <w:szCs w:val="28"/>
        </w:rPr>
        <w:t xml:space="preserve">畅通的申诉渠道 </w:t>
      </w:r>
    </w:p>
    <w:p w14:paraId="1A26688C">
      <w:pPr>
        <w:numPr>
          <w:ilvl w:val="0"/>
          <w:numId w:val="0"/>
        </w:numPr>
        <w:ind w:leftChars="0" w:firstLine="560" w:firstLineChars="200"/>
        <w:rPr>
          <w:rFonts w:ascii="宋体" w:hAnsi="宋体" w:eastAsia="宋体" w:cs="宋体"/>
          <w:sz w:val="28"/>
          <w:szCs w:val="28"/>
        </w:rPr>
      </w:pPr>
      <w:r>
        <w:rPr>
          <w:rFonts w:hint="eastAsia" w:ascii="宋体" w:hAnsi="宋体" w:eastAsia="宋体" w:cs="宋体"/>
          <w:sz w:val="28"/>
          <w:szCs w:val="28"/>
          <w:lang w:eastAsia="zh-CN"/>
        </w:rPr>
        <w:t>公司</w:t>
      </w:r>
      <w:r>
        <w:rPr>
          <w:rFonts w:hint="eastAsia" w:ascii="宋体" w:hAnsi="宋体" w:eastAsia="宋体" w:cs="宋体"/>
          <w:sz w:val="28"/>
          <w:szCs w:val="28"/>
          <w:lang w:val="en-US" w:eastAsia="zh-CN"/>
        </w:rPr>
        <w:t>管理部为</w:t>
      </w:r>
      <w:r>
        <w:rPr>
          <w:rFonts w:ascii="宋体" w:hAnsi="宋体" w:eastAsia="宋体" w:cs="宋体"/>
          <w:sz w:val="28"/>
          <w:szCs w:val="28"/>
        </w:rPr>
        <w:t xml:space="preserve">内外部相关方设置了投诉电话、意见箱、等各种申诉渠道，畅通的投诉举报渠道实际上是对内外部相关方参与人权合规工作积极性的肯定，更能激发他们的监督意识和参与意识。 </w:t>
      </w:r>
    </w:p>
    <w:p w14:paraId="75FBEFD5">
      <w:pPr>
        <w:numPr>
          <w:ilvl w:val="0"/>
          <w:numId w:val="4"/>
        </w:numPr>
        <w:ind w:left="0" w:leftChars="0" w:firstLine="0" w:firstLineChars="0"/>
        <w:rPr>
          <w:rFonts w:ascii="宋体" w:hAnsi="宋体" w:eastAsia="宋体" w:cs="宋体"/>
          <w:sz w:val="28"/>
          <w:szCs w:val="28"/>
        </w:rPr>
      </w:pPr>
      <w:r>
        <w:rPr>
          <w:rFonts w:ascii="宋体" w:hAnsi="宋体" w:eastAsia="宋体" w:cs="宋体"/>
          <w:sz w:val="28"/>
          <w:szCs w:val="28"/>
        </w:rPr>
        <w:t xml:space="preserve">培训与沟通 </w:t>
      </w:r>
    </w:p>
    <w:p w14:paraId="55347838">
      <w:pPr>
        <w:numPr>
          <w:ilvl w:val="0"/>
          <w:numId w:val="0"/>
        </w:numPr>
        <w:ind w:leftChars="0" w:firstLine="560" w:firstLineChars="200"/>
        <w:rPr>
          <w:rFonts w:ascii="宋体" w:hAnsi="宋体" w:eastAsia="宋体" w:cs="宋体"/>
          <w:sz w:val="28"/>
          <w:szCs w:val="28"/>
        </w:rPr>
      </w:pPr>
      <w:r>
        <w:rPr>
          <w:rFonts w:hint="eastAsia" w:ascii="宋体" w:hAnsi="宋体" w:eastAsia="宋体" w:cs="宋体"/>
          <w:sz w:val="28"/>
          <w:szCs w:val="28"/>
          <w:lang w:eastAsia="zh-CN"/>
        </w:rPr>
        <w:t>公司</w:t>
      </w:r>
      <w:r>
        <w:rPr>
          <w:rFonts w:hint="eastAsia" w:ascii="宋体" w:hAnsi="宋体" w:eastAsia="宋体" w:cs="宋体"/>
          <w:sz w:val="28"/>
          <w:szCs w:val="28"/>
          <w:lang w:val="en-US" w:eastAsia="zh-CN"/>
        </w:rPr>
        <w:t>管理部</w:t>
      </w:r>
      <w:r>
        <w:rPr>
          <w:rFonts w:ascii="宋体" w:hAnsi="宋体" w:eastAsia="宋体" w:cs="宋体"/>
          <w:sz w:val="28"/>
          <w:szCs w:val="28"/>
        </w:rPr>
        <w:t>及相关主责部门不定期为员工和管理人员开展与人有关的培训，以防止出现人权不合规的行为。</w:t>
      </w:r>
    </w:p>
    <w:p w14:paraId="16202389">
      <w:pPr>
        <w:numPr>
          <w:ilvl w:val="0"/>
          <w:numId w:val="0"/>
        </w:numPr>
        <w:ind w:leftChars="0"/>
        <w:rPr>
          <w:rFonts w:ascii="宋体" w:hAnsi="宋体" w:eastAsia="宋体" w:cs="宋体"/>
          <w:b/>
          <w:bCs/>
          <w:sz w:val="28"/>
          <w:szCs w:val="28"/>
        </w:rPr>
      </w:pPr>
      <w:r>
        <w:rPr>
          <w:rFonts w:ascii="宋体" w:hAnsi="宋体" w:eastAsia="宋体" w:cs="宋体"/>
          <w:b/>
          <w:bCs/>
          <w:sz w:val="28"/>
          <w:szCs w:val="28"/>
        </w:rPr>
        <w:t xml:space="preserve"> </w:t>
      </w:r>
      <w:r>
        <w:rPr>
          <w:rFonts w:hint="eastAsia" w:ascii="宋体" w:hAnsi="宋体" w:eastAsia="宋体" w:cs="宋体"/>
          <w:b/>
          <w:bCs/>
          <w:sz w:val="28"/>
          <w:szCs w:val="28"/>
          <w:lang w:val="en-US" w:eastAsia="zh-CN"/>
        </w:rPr>
        <w:t>四</w:t>
      </w:r>
      <w:r>
        <w:rPr>
          <w:rFonts w:ascii="宋体" w:hAnsi="宋体" w:eastAsia="宋体" w:cs="宋体"/>
          <w:b/>
          <w:bCs/>
          <w:sz w:val="28"/>
          <w:szCs w:val="28"/>
        </w:rPr>
        <w:t xml:space="preserve">、总结 </w:t>
      </w:r>
    </w:p>
    <w:p w14:paraId="06D8FCBF">
      <w:pPr>
        <w:numPr>
          <w:ilvl w:val="0"/>
          <w:numId w:val="0"/>
        </w:numPr>
        <w:ind w:leftChars="0" w:firstLine="560" w:firstLineChars="200"/>
        <w:rPr>
          <w:sz w:val="28"/>
          <w:szCs w:val="28"/>
        </w:rPr>
      </w:pPr>
      <w:r>
        <w:rPr>
          <w:rFonts w:ascii="宋体" w:hAnsi="宋体" w:eastAsia="宋体" w:cs="宋体"/>
          <w:sz w:val="28"/>
          <w:szCs w:val="28"/>
        </w:rPr>
        <w:t>开展人权影响评估对于建立有效且符合国际公认标准的人权尽职调查流程是必不可少的一个环节。</w:t>
      </w:r>
      <w:r>
        <w:rPr>
          <w:rFonts w:hint="eastAsia" w:ascii="宋体" w:hAnsi="宋体" w:eastAsia="宋体" w:cs="宋体"/>
          <w:sz w:val="28"/>
          <w:szCs w:val="28"/>
          <w:lang w:eastAsia="zh-CN"/>
        </w:rPr>
        <w:t>公司</w:t>
      </w:r>
      <w:r>
        <w:rPr>
          <w:rFonts w:ascii="宋体" w:hAnsi="宋体" w:eastAsia="宋体" w:cs="宋体"/>
          <w:sz w:val="28"/>
          <w:szCs w:val="28"/>
        </w:rPr>
        <w:t>展现了其对增强人权保障的义务和职责，并将在持续协作、相互理解的基础上不断推进有关人权问题的讨论，进一步将尊重人权的精神融入到其日常</w:t>
      </w:r>
      <w:r>
        <w:rPr>
          <w:rFonts w:hint="eastAsia" w:ascii="宋体" w:hAnsi="宋体" w:eastAsia="宋体" w:cs="宋体"/>
          <w:sz w:val="28"/>
          <w:szCs w:val="28"/>
          <w:lang w:val="en-US" w:eastAsia="zh-CN"/>
        </w:rPr>
        <w:t>经营生产环节中</w:t>
      </w:r>
      <w:r>
        <w:rPr>
          <w:rFonts w:ascii="宋体" w:hAnsi="宋体" w:eastAsia="宋体" w:cs="宋体"/>
          <w:sz w:val="28"/>
          <w:szCs w:val="28"/>
        </w:rPr>
        <w:t>。除了履行尊重国际公认人权的义务之外，公司还将</w:t>
      </w:r>
      <w:r>
        <w:rPr>
          <w:rFonts w:hint="eastAsia" w:ascii="宋体" w:hAnsi="宋体" w:eastAsia="宋体" w:cs="宋体"/>
          <w:sz w:val="28"/>
          <w:szCs w:val="28"/>
          <w:lang w:val="en-US" w:eastAsia="zh-CN"/>
        </w:rPr>
        <w:t>有效的利用自身的社会影响力，</w:t>
      </w:r>
      <w:r>
        <w:rPr>
          <w:rFonts w:ascii="宋体" w:hAnsi="宋体" w:eastAsia="宋体" w:cs="宋体"/>
          <w:sz w:val="28"/>
          <w:szCs w:val="28"/>
        </w:rPr>
        <w:t>努力促进和提高其在人权保障方面的表现。</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737098">
    <w:pPr>
      <w:pStyle w:val="4"/>
      <w:jc w:val="left"/>
      <w:rPr>
        <w:rFonts w:hint="default" w:eastAsiaTheme="minorEastAsia"/>
        <w:lang w:val="en-US" w:eastAsia="zh-CN"/>
      </w:rPr>
    </w:pPr>
    <w:r>
      <w:rPr>
        <w:rFonts w:hint="eastAsia"/>
        <w:sz w:val="21"/>
        <w:szCs w:val="21"/>
        <w:lang w:val="en-US" w:eastAsia="zh-CN"/>
      </w:rPr>
      <w:drawing>
        <wp:anchor distT="0" distB="0" distL="114300" distR="114300" simplePos="0" relativeHeight="251659264" behindDoc="0" locked="0" layoutInCell="1" allowOverlap="1">
          <wp:simplePos x="0" y="0"/>
          <wp:positionH relativeFrom="column">
            <wp:posOffset>-861695</wp:posOffset>
          </wp:positionH>
          <wp:positionV relativeFrom="paragraph">
            <wp:posOffset>-317500</wp:posOffset>
          </wp:positionV>
          <wp:extent cx="1045210" cy="282575"/>
          <wp:effectExtent l="0" t="0" r="6350" b="6985"/>
          <wp:wrapNone/>
          <wp:docPr id="3" name="图片 3" descr="（新）隆达铝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新）隆达铝业logo"/>
                  <pic:cNvPicPr>
                    <a:picLocks noChangeAspect="1"/>
                  </pic:cNvPicPr>
                </pic:nvPicPr>
                <pic:blipFill>
                  <a:blip r:embed="rId1"/>
                  <a:stretch>
                    <a:fillRect/>
                  </a:stretch>
                </pic:blipFill>
                <pic:spPr>
                  <a:xfrm>
                    <a:off x="0" y="0"/>
                    <a:ext cx="1045210" cy="282575"/>
                  </a:xfrm>
                  <a:prstGeom prst="rect">
                    <a:avLst/>
                  </a:prstGeom>
                </pic:spPr>
              </pic:pic>
            </a:graphicData>
          </a:graphic>
        </wp:anchor>
      </w:drawing>
    </w:r>
    <w:r>
      <w:rPr>
        <w:rFonts w:hint="eastAsia"/>
      </w:rPr>
      <w:t>附件</w:t>
    </w:r>
    <w:r>
      <w:rPr>
        <w:rFonts w:hint="eastAsia"/>
        <w:lang w:val="en-US" w:eastAsia="zh-CN"/>
      </w:rPr>
      <w:t>四                                                      AO版             保存期限：3年</w:t>
    </w:r>
  </w:p>
  <w:p w14:paraId="4A36C646">
    <w:pPr>
      <w:pStyle w:val="4"/>
      <w:rPr>
        <w:rFonts w:hint="eastAsia" w:eastAsiaTheme="minorEastAsia"/>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543FAE"/>
    <w:multiLevelType w:val="singleLevel"/>
    <w:tmpl w:val="C0543FAE"/>
    <w:lvl w:ilvl="0" w:tentative="0">
      <w:start w:val="1"/>
      <w:numFmt w:val="decimal"/>
      <w:suff w:val="nothing"/>
      <w:lvlText w:val="%1、"/>
      <w:lvlJc w:val="left"/>
      <w:pPr>
        <w:ind w:left="140" w:leftChars="0" w:firstLine="0" w:firstLineChars="0"/>
      </w:pPr>
    </w:lvl>
  </w:abstractNum>
  <w:abstractNum w:abstractNumId="1">
    <w:nsid w:val="F8D3FBC1"/>
    <w:multiLevelType w:val="singleLevel"/>
    <w:tmpl w:val="F8D3FBC1"/>
    <w:lvl w:ilvl="0" w:tentative="0">
      <w:start w:val="1"/>
      <w:numFmt w:val="chineseCounting"/>
      <w:suff w:val="nothing"/>
      <w:lvlText w:val="%1、"/>
      <w:lvlJc w:val="left"/>
      <w:rPr>
        <w:rFonts w:hint="eastAsia"/>
      </w:rPr>
    </w:lvl>
  </w:abstractNum>
  <w:abstractNum w:abstractNumId="2">
    <w:nsid w:val="0ECC8B07"/>
    <w:multiLevelType w:val="singleLevel"/>
    <w:tmpl w:val="0ECC8B07"/>
    <w:lvl w:ilvl="0" w:tentative="0">
      <w:start w:val="4"/>
      <w:numFmt w:val="decimal"/>
      <w:suff w:val="nothing"/>
      <w:lvlText w:val="%1、"/>
      <w:lvlJc w:val="left"/>
    </w:lvl>
  </w:abstractNum>
  <w:abstractNum w:abstractNumId="3">
    <w:nsid w:val="174B53ED"/>
    <w:multiLevelType w:val="singleLevel"/>
    <w:tmpl w:val="174B53ED"/>
    <w:lvl w:ilvl="0" w:tentative="0">
      <w:start w:val="1"/>
      <w:numFmt w:val="decimal"/>
      <w:lvlText w:val="(%1)"/>
      <w:lvlJc w:val="left"/>
      <w:pPr>
        <w:tabs>
          <w:tab w:val="left" w:pos="312"/>
        </w:tabs>
        <w:ind w:left="700" w:leftChars="0" w:firstLine="0" w:firstLineChars="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76642E12"/>
    <w:rsid w:val="02B80655"/>
    <w:rsid w:val="21323D97"/>
    <w:rsid w:val="243E2761"/>
    <w:rsid w:val="412254B4"/>
    <w:rsid w:val="44132215"/>
    <w:rsid w:val="492C5CCF"/>
    <w:rsid w:val="49EB6DBB"/>
    <w:rsid w:val="6306558B"/>
    <w:rsid w:val="6CE733C0"/>
    <w:rsid w:val="76642E12"/>
    <w:rsid w:val="780536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1695</Words>
  <Characters>1728</Characters>
  <Lines>0</Lines>
  <Paragraphs>0</Paragraphs>
  <TotalTime>0</TotalTime>
  <ScaleCrop>false</ScaleCrop>
  <LinksUpToDate>false</LinksUpToDate>
  <CharactersWithSpaces>1824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2024-07-29T05:41:00Z</dcterms:created>
  <dc:creator>Administrator</dc:creator>
  <cp:lastModifiedBy>Administrator</cp:lastModifiedBy>
  <dcterms:modified xsi:type="dcterms:W3CDTF">2024-11-04T07:35:20Z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B37A5F84DF274229B306963DE57987C9_11</vt:lpwstr>
  </property>
</Properties>
</file>