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20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467"/>
        <w:gridCol w:w="228"/>
        <w:gridCol w:w="1813"/>
        <w:gridCol w:w="455"/>
        <w:gridCol w:w="1586"/>
        <w:gridCol w:w="585"/>
        <w:gridCol w:w="1456"/>
        <w:gridCol w:w="43"/>
        <w:gridCol w:w="142"/>
        <w:gridCol w:w="723"/>
        <w:gridCol w:w="1134"/>
      </w:tblGrid>
      <w:tr w14:paraId="4902EF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206" w:type="dxa"/>
            <w:gridSpan w:val="12"/>
            <w:tcBorders>
              <w:bottom w:val="single" w:color="auto" w:sz="12" w:space="0"/>
            </w:tcBorders>
          </w:tcPr>
          <w:p w14:paraId="047CF11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5"/>
                <w:szCs w:val="25"/>
                <w:lang w:bidi="ar"/>
              </w:rPr>
              <w:t xml:space="preserve">一、目的 </w:t>
            </w:r>
          </w:p>
          <w:p w14:paraId="483A957E">
            <w:pPr>
              <w:widowControl/>
              <w:spacing w:line="560" w:lineRule="exact"/>
              <w:ind w:firstLine="480" w:firstLineChars="20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为了满足相关方的需求和期望，适合预期用途的要求，通过产品生命周期的评价，识别产生主要环境负荷的关键影响因子，对其进行减量化控制，以寻求减少环境污染。确保组织温室气体盘查符合ISO14064，特制定本规定。</w:t>
            </w:r>
          </w:p>
          <w:p w14:paraId="0A85D6D6">
            <w:pPr>
              <w:widowControl/>
              <w:numPr>
                <w:ilvl w:val="0"/>
                <w:numId w:val="1"/>
              </w:numPr>
              <w:spacing w:line="560" w:lineRule="exact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5"/>
                <w:szCs w:val="25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5"/>
                <w:szCs w:val="25"/>
                <w:lang w:bidi="ar"/>
              </w:rPr>
              <w:t>适用范围</w:t>
            </w:r>
          </w:p>
          <w:p w14:paraId="4B8F92A7">
            <w:pPr>
              <w:widowControl/>
              <w:spacing w:line="560" w:lineRule="exact"/>
              <w:ind w:firstLine="50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  <w:lang w:bidi="ar"/>
              </w:rPr>
              <w:t>适用于公司范围内的生产、经营、生活的全部活动</w:t>
            </w:r>
            <w:r>
              <w:rPr>
                <w:rFonts w:hint="eastAsia" w:ascii="宋体" w:hAnsi="宋体" w:cs="宋体"/>
                <w:sz w:val="24"/>
              </w:rPr>
              <w:t>产品生命周期的活动数据</w:t>
            </w:r>
            <w:r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  <w:lang w:bidi="ar"/>
              </w:rPr>
              <w:t xml:space="preserve">。 </w:t>
            </w:r>
          </w:p>
          <w:p w14:paraId="5DF9F25F">
            <w:pPr>
              <w:widowControl/>
              <w:numPr>
                <w:ilvl w:val="0"/>
                <w:numId w:val="1"/>
              </w:numPr>
              <w:spacing w:line="560" w:lineRule="exact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5"/>
                <w:szCs w:val="25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5"/>
                <w:szCs w:val="25"/>
                <w:lang w:bidi="ar"/>
              </w:rPr>
              <w:t>原则</w:t>
            </w:r>
          </w:p>
          <w:p w14:paraId="58D42151">
            <w:pPr>
              <w:widowControl/>
              <w:spacing w:line="560" w:lineRule="exact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kern w:val="0"/>
                <w:sz w:val="25"/>
                <w:szCs w:val="25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t>相关性、完整性、一致性、准确性、透明性</w:t>
            </w:r>
          </w:p>
          <w:p w14:paraId="5D0F157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5"/>
                <w:szCs w:val="25"/>
                <w:lang w:bidi="ar"/>
              </w:rPr>
              <w:t>四、职责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、权限和能力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5"/>
                <w:szCs w:val="25"/>
                <w:lang w:bidi="ar"/>
              </w:rPr>
              <w:t xml:space="preserve"> </w:t>
            </w:r>
          </w:p>
          <w:p w14:paraId="26B7456E">
            <w:pPr>
              <w:spacing w:line="5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FF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组建盘查项目小组，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年度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针对一个产品系统(包括产品、工艺和服务过程)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进行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生命周期评价(LCA)，通过对评价对象在其全生命周期内的能源消耗、原材料投入、污染物排放及其它环境影响（包括</w:t>
            </w:r>
            <w:r>
              <w:rPr>
                <w:rFonts w:hint="eastAsia" w:ascii="宋体" w:hAnsi="宋体" w:cs="宋体"/>
                <w:sz w:val="24"/>
              </w:rPr>
              <w:t>气候变化 (Climate Change, GWP)，初级能源消耗 (Primary Energy Demand, PED)、水资源消耗 (Resource Depletion – water, WU)、酸化 (Acidification, AP)、颗粒物(Particulate matter, PM)）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等进行识别和量化分析，以确定和评估该产品系统对环境安全所存在的潜在影响。同时</w:t>
            </w:r>
            <w:r>
              <w:rPr>
                <w:rFonts w:hint="eastAsia" w:ascii="宋体" w:hAnsi="宋体" w:cs="宋体"/>
                <w:sz w:val="24"/>
              </w:rPr>
              <w:t>进行GHG盘查清册的开发和配合第三方机构完成GHG盘查报告的编制。</w:t>
            </w:r>
          </w:p>
          <w:p w14:paraId="5FEF6693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4.1组织最高管理者职责包括：</w:t>
            </w:r>
          </w:p>
          <w:p w14:paraId="7E3EF887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4.1.1确定LCA的目标、生命周期的范围和系统边界。</w:t>
            </w:r>
          </w:p>
          <w:p w14:paraId="50D15F28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4.1.2确定盘查项目的目的；</w:t>
            </w:r>
          </w:p>
          <w:p w14:paraId="0B3C7526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4.1.3批准组建盘查项目小组，任命组长；</w:t>
            </w:r>
          </w:p>
          <w:p w14:paraId="2966F0B2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4.1.4为盘查项目实施提供所需的资源和支持；</w:t>
            </w:r>
          </w:p>
          <w:p w14:paraId="6D2CB7D9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4.1.5为可能的减缓行动进行决策，并提供所需的资源和支持；</w:t>
            </w:r>
          </w:p>
          <w:p w14:paraId="67960235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4.1.6批准产品生命周期评估报告（LCA）、GHG盘查清册和盘查报告。</w:t>
            </w:r>
          </w:p>
          <w:p w14:paraId="00DF8732">
            <w:pPr>
              <w:spacing w:line="52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二、项目小组的职责和权限如下：</w:t>
            </w:r>
          </w:p>
          <w:p w14:paraId="1A5237C6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</w:p>
          <w:p w14:paraId="5F3259A8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</w:p>
          <w:tbl>
            <w:tblPr>
              <w:tblStyle w:val="8"/>
              <w:tblpPr w:leftFromText="180" w:rightFromText="180" w:vertAnchor="text" w:horzAnchor="page" w:tblpX="917" w:tblpY="497"/>
              <w:tblOverlap w:val="never"/>
              <w:tblW w:w="9878" w:type="dxa"/>
              <w:tblInd w:w="0" w:type="dxa"/>
              <w:tblBorders>
                <w:top w:val="single" w:color="000000" w:themeColor="text1" w:sz="4" w:space="0"/>
                <w:left w:val="single" w:color="000000" w:themeColor="text1" w:sz="4" w:space="0"/>
                <w:bottom w:val="single" w:color="000000" w:themeColor="text1" w:sz="4" w:space="0"/>
                <w:right w:val="single" w:color="000000" w:themeColor="text1" w:sz="4" w:space="0"/>
                <w:insideH w:val="single" w:color="000000" w:themeColor="text1" w:sz="4" w:space="0"/>
                <w:insideV w:val="single" w:color="000000" w:themeColor="text1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54"/>
              <w:gridCol w:w="3465"/>
              <w:gridCol w:w="2535"/>
              <w:gridCol w:w="3224"/>
            </w:tblGrid>
            <w:tr w14:paraId="37DD4522"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32" w:hRule="atLeast"/>
              </w:trPr>
              <w:tc>
                <w:tcPr>
                  <w:tcW w:w="654" w:type="dxa"/>
                  <w:tcBorders>
                    <w:bottom w:val="single" w:color="363636" w:sz="12" w:space="0"/>
                  </w:tcBorders>
                </w:tcPr>
                <w:p w14:paraId="29A66640"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color w:val="FF660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职位</w:t>
                  </w:r>
                </w:p>
              </w:tc>
              <w:tc>
                <w:tcPr>
                  <w:tcW w:w="3465" w:type="dxa"/>
                  <w:tcBorders>
                    <w:bottom w:val="single" w:color="363636" w:sz="12" w:space="0"/>
                  </w:tcBorders>
                </w:tcPr>
                <w:p w14:paraId="6FAD69BB"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color w:val="FF660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职责</w:t>
                  </w:r>
                </w:p>
              </w:tc>
              <w:tc>
                <w:tcPr>
                  <w:tcW w:w="2535" w:type="dxa"/>
                  <w:tcBorders>
                    <w:bottom w:val="single" w:color="363636" w:sz="12" w:space="0"/>
                  </w:tcBorders>
                </w:tcPr>
                <w:p w14:paraId="6ABE2BE2"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color w:val="FF660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权限</w:t>
                  </w:r>
                </w:p>
              </w:tc>
              <w:tc>
                <w:tcPr>
                  <w:tcW w:w="3224" w:type="dxa"/>
                  <w:tcBorders>
                    <w:bottom w:val="single" w:color="363636" w:sz="12" w:space="0"/>
                  </w:tcBorders>
                </w:tcPr>
                <w:p w14:paraId="1CA66E2C"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color w:val="FF660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能力培训</w:t>
                  </w:r>
                </w:p>
              </w:tc>
            </w:tr>
            <w:tr w14:paraId="5F5D90DC"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142" w:hRule="atLeast"/>
              </w:trPr>
              <w:tc>
                <w:tcPr>
                  <w:tcW w:w="654" w:type="dxa"/>
                  <w:vAlign w:val="center"/>
                </w:tcPr>
                <w:p w14:paraId="3EB1F734"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组长</w:t>
                  </w:r>
                </w:p>
              </w:tc>
              <w:tc>
                <w:tcPr>
                  <w:tcW w:w="3465" w:type="dxa"/>
                </w:tcPr>
                <w:p w14:paraId="4C65552A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负责盘查的总体事务，包括：</w:t>
                  </w:r>
                </w:p>
                <w:p w14:paraId="66810CD7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1. 进度计划的制定与动态追踪；</w:t>
                  </w:r>
                </w:p>
                <w:p w14:paraId="7FD6731C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2. 工作分配与协调；</w:t>
                  </w:r>
                </w:p>
                <w:p w14:paraId="610B05A9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3. 组织边界的确定；</w:t>
                  </w:r>
                </w:p>
                <w:p w14:paraId="7EE51469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4. 报告边界的确定，特别是重大GHG间接排放的识别评价；</w:t>
                  </w:r>
                </w:p>
                <w:p w14:paraId="354CEF30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5. 量化方法学的确定；</w:t>
                  </w:r>
                </w:p>
                <w:p w14:paraId="6380E5C4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6. LCA报告、盘查清册和盘查报告的审核；</w:t>
                  </w:r>
                </w:p>
                <w:p w14:paraId="62FB8E88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7. 文件化信息的控制，特别是数据支持证据的保存；</w:t>
                  </w:r>
                </w:p>
                <w:p w14:paraId="6797DAAF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8. 内部审核与技术评审的组织；</w:t>
                  </w:r>
                </w:p>
                <w:p w14:paraId="47AD5F43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9. 外部核查的应对。</w:t>
                  </w:r>
                </w:p>
                <w:p w14:paraId="612C788F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10、对清单分析，确定流程的输入和输出，进行对产品生命周期LCA进行影响评价和定量评价。</w:t>
                  </w:r>
                </w:p>
              </w:tc>
              <w:tc>
                <w:tcPr>
                  <w:tcW w:w="2535" w:type="dxa"/>
                </w:tcPr>
                <w:p w14:paraId="021A0362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在最高管理者授权下，具有</w:t>
                  </w:r>
                </w:p>
                <w:p w14:paraId="3B007CA0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1. 盘查工作分配和监督权；</w:t>
                  </w:r>
                </w:p>
                <w:p w14:paraId="1CB9DE8C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2. 边界和方法学的确定权；</w:t>
                  </w:r>
                </w:p>
                <w:p w14:paraId="219B51DD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3. 相关数据获取权和证据的保管权；</w:t>
                  </w:r>
                </w:p>
                <w:p w14:paraId="5EA05D2E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4. 清册和报告的审核权；</w:t>
                  </w:r>
                </w:p>
                <w:p w14:paraId="49239C01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5. 内部审核评审的组织决策权。</w:t>
                  </w:r>
                </w:p>
              </w:tc>
              <w:tc>
                <w:tcPr>
                  <w:tcW w:w="3224" w:type="dxa"/>
                </w:tcPr>
                <w:p w14:paraId="7624BA96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1.需接受过至少16学时ISO14064\ISO14067\ISO14044标准的专业培训；</w:t>
                  </w:r>
                </w:p>
                <w:p w14:paraId="7A16FFBB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2.需接受过16学时的温室气体量化方法学的专业培训。</w:t>
                  </w:r>
                </w:p>
              </w:tc>
            </w:tr>
            <w:tr w14:paraId="0C1FFC92"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80" w:hRule="atLeast"/>
              </w:trPr>
              <w:tc>
                <w:tcPr>
                  <w:tcW w:w="654" w:type="dxa"/>
                  <w:vAlign w:val="center"/>
                </w:tcPr>
                <w:p w14:paraId="238B1F5E"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组员</w:t>
                  </w:r>
                </w:p>
              </w:tc>
              <w:tc>
                <w:tcPr>
                  <w:tcW w:w="3465" w:type="dxa"/>
                </w:tcPr>
                <w:p w14:paraId="2B3F0BA7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按照组长分配的工作实施盘查具体事务，包括：</w:t>
                  </w:r>
                </w:p>
                <w:p w14:paraId="2CAEC97B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1. 数据收集与排放量计算；</w:t>
                  </w:r>
                </w:p>
                <w:p w14:paraId="487435EC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2. 数据支持证据的收集和提交；</w:t>
                  </w:r>
                </w:p>
                <w:p w14:paraId="2D456817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3. LCA报告、盘查清册和盘查报告的数据复核；</w:t>
                  </w:r>
                </w:p>
                <w:p w14:paraId="5AB70D86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4. 内部审核与技术评审。</w:t>
                  </w:r>
                </w:p>
              </w:tc>
              <w:tc>
                <w:tcPr>
                  <w:tcW w:w="2535" w:type="dxa"/>
                </w:tcPr>
                <w:p w14:paraId="3B8EBF59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在组长分配和授权下，具有</w:t>
                  </w:r>
                </w:p>
                <w:p w14:paraId="6E4F81DC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1. 相关数据获取权；</w:t>
                  </w:r>
                </w:p>
                <w:p w14:paraId="7B35CE87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2. 内部审核评审权；</w:t>
                  </w:r>
                </w:p>
              </w:tc>
              <w:tc>
                <w:tcPr>
                  <w:tcW w:w="3224" w:type="dxa"/>
                </w:tcPr>
                <w:p w14:paraId="5A4109C0">
                  <w:pPr>
                    <w:spacing w:line="520" w:lineRule="exact"/>
                    <w:rPr>
                      <w:rFonts w:hint="eastAsia" w:ascii="宋体" w:hAnsi="宋体" w:cs="宋体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szCs w:val="21"/>
                    </w:rPr>
                    <w:t>1.需接受过至少16学时ISO14064\ISO14067\ISO14044标准的专业培训；</w:t>
                  </w:r>
                </w:p>
              </w:tc>
            </w:tr>
          </w:tbl>
          <w:p w14:paraId="42291D25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</w:p>
          <w:p w14:paraId="3E4FDF72"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5"/>
                <w:szCs w:val="25"/>
                <w:lang w:bidi="ar"/>
              </w:rPr>
              <w:t>五、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组织边界</w:t>
            </w:r>
          </w:p>
          <w:p w14:paraId="193BEB70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5.1 LCA目标和系统边界界定 </w:t>
            </w:r>
          </w:p>
          <w:p w14:paraId="2AC3E50E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5.1.1 LCA报告的研究对象为单吨AC4C铝合金产品的整个制程全生命周期。 </w:t>
            </w:r>
          </w:p>
          <w:p w14:paraId="38371ADC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5.1.2 LCA报告边界为“摇篮到大门”（从资源开采到产品出厂），分为原料获取阶段和产品生产阶段。</w:t>
            </w:r>
          </w:p>
          <w:p w14:paraId="350E3C6B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5.2 温室气体排放</w:t>
            </w:r>
          </w:p>
          <w:p w14:paraId="7E30AE2F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组织边界的合并方法，基于运营控制。本公司的温室气体盘查组织边界设定详见附录1。</w:t>
            </w:r>
          </w:p>
          <w:p w14:paraId="2C972EB2"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六、报告边界</w:t>
            </w:r>
          </w:p>
          <w:p w14:paraId="3EE7329D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6.1环境影响类指标的种类</w:t>
            </w:r>
          </w:p>
          <w:p w14:paraId="468D839B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分别为气候变化 (Climate Change, GWP)，初级能源消耗 (Primary Energy Demand, PED)、水资源消耗 (Resource Depletion – water, WU)、酸化 (Acidification, AP)、颗粒物(Particulate matter, PM)。</w:t>
            </w:r>
          </w:p>
          <w:p w14:paraId="3DFEB198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6.2温室气体种类</w:t>
            </w:r>
          </w:p>
          <w:p w14:paraId="6EEFD75A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所需盘查的温室气体种类包括CO</w:t>
            </w:r>
            <w:r>
              <w:rPr>
                <w:rFonts w:hint="eastAsia" w:ascii="宋体" w:hAnsi="宋体" w:cs="宋体"/>
                <w:sz w:val="24"/>
                <w:vertAlign w:val="subscript"/>
              </w:rPr>
              <w:t>2</w:t>
            </w:r>
            <w:r>
              <w:rPr>
                <w:rFonts w:hint="eastAsia" w:ascii="宋体" w:hAnsi="宋体" w:cs="宋体"/>
                <w:sz w:val="24"/>
              </w:rPr>
              <w:t>、CH</w:t>
            </w:r>
            <w:r>
              <w:rPr>
                <w:rFonts w:hint="eastAsia" w:ascii="宋体" w:hAnsi="宋体" w:cs="宋体"/>
                <w:sz w:val="24"/>
                <w:vertAlign w:val="subscript"/>
              </w:rPr>
              <w:t>4</w:t>
            </w:r>
            <w:r>
              <w:rPr>
                <w:rFonts w:hint="eastAsia" w:ascii="宋体" w:hAnsi="宋体" w:cs="宋体"/>
                <w:sz w:val="24"/>
              </w:rPr>
              <w:t>、N</w:t>
            </w:r>
            <w:r>
              <w:rPr>
                <w:rFonts w:hint="eastAsia" w:ascii="宋体" w:hAnsi="宋体" w:cs="宋体"/>
                <w:sz w:val="24"/>
                <w:vertAlign w:val="subscript"/>
              </w:rPr>
              <w:t>2</w:t>
            </w:r>
            <w:r>
              <w:rPr>
                <w:rFonts w:hint="eastAsia" w:ascii="宋体" w:hAnsi="宋体" w:cs="宋体"/>
                <w:sz w:val="24"/>
              </w:rPr>
              <w:t>O、NF</w:t>
            </w:r>
            <w:r>
              <w:rPr>
                <w:rFonts w:hint="eastAsia" w:ascii="宋体" w:hAnsi="宋体" w:cs="宋体"/>
                <w:sz w:val="24"/>
                <w:vertAlign w:val="subscript"/>
              </w:rPr>
              <w:t>3</w:t>
            </w:r>
            <w:r>
              <w:rPr>
                <w:rFonts w:hint="eastAsia" w:ascii="宋体" w:hAnsi="宋体" w:cs="宋体"/>
                <w:sz w:val="24"/>
              </w:rPr>
              <w:t>、SF</w:t>
            </w:r>
            <w:r>
              <w:rPr>
                <w:rFonts w:hint="eastAsia" w:ascii="宋体" w:hAnsi="宋体" w:cs="宋体"/>
                <w:sz w:val="24"/>
                <w:vertAlign w:val="subscript"/>
              </w:rPr>
              <w:t>6</w:t>
            </w:r>
            <w:r>
              <w:rPr>
                <w:rFonts w:hint="eastAsia" w:ascii="宋体" w:hAnsi="宋体" w:cs="宋体"/>
                <w:sz w:val="24"/>
              </w:rPr>
              <w:t>、HFC</w:t>
            </w:r>
            <w:r>
              <w:rPr>
                <w:rFonts w:hint="eastAsia" w:ascii="宋体" w:hAnsi="宋体" w:cs="宋体"/>
                <w:sz w:val="24"/>
                <w:vertAlign w:val="subscript"/>
              </w:rPr>
              <w:t>S</w:t>
            </w:r>
            <w:r>
              <w:rPr>
                <w:rFonts w:hint="eastAsia" w:ascii="宋体" w:hAnsi="宋体" w:cs="宋体"/>
                <w:sz w:val="24"/>
              </w:rPr>
              <w:t>、PFC</w:t>
            </w:r>
            <w:r>
              <w:rPr>
                <w:rFonts w:hint="eastAsia" w:ascii="宋体" w:hAnsi="宋体" w:cs="宋体"/>
                <w:sz w:val="24"/>
                <w:vertAlign w:val="subscript"/>
              </w:rPr>
              <w:t>S</w:t>
            </w:r>
            <w:r>
              <w:rPr>
                <w:rFonts w:hint="eastAsia" w:ascii="宋体" w:hAnsi="宋体" w:cs="宋体"/>
                <w:sz w:val="24"/>
              </w:rPr>
              <w:t>。</w:t>
            </w:r>
          </w:p>
          <w:p w14:paraId="02258E50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6.3盘查时机与周期</w:t>
            </w:r>
          </w:p>
          <w:p w14:paraId="75D134DA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为了方便及时的获取数据，应于每年1月下旬启动盘查项目，盘查上一年度的排放绩效，即上一年度1月1日至12月31日的排放数据。</w:t>
            </w:r>
          </w:p>
          <w:p w14:paraId="75E58C53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6.4排放类别</w:t>
            </w:r>
          </w:p>
          <w:p w14:paraId="02454A1C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6.4.1排放类别可以分为以下6大类：</w:t>
            </w:r>
          </w:p>
          <w:p w14:paraId="3738D4B0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类别1直接排放</w:t>
            </w:r>
          </w:p>
          <w:p w14:paraId="1A44267B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类别2外购能源的间接排放</w:t>
            </w:r>
          </w:p>
          <w:p w14:paraId="4384EC30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类别3运输产生的间接排放</w:t>
            </w:r>
          </w:p>
          <w:p w14:paraId="5D65CD6B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类别4组织使用的产品和服务产生的间接排放</w:t>
            </w:r>
          </w:p>
          <w:p w14:paraId="258675DD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类别5本组织产品的使用产生的间接排放</w:t>
            </w:r>
          </w:p>
          <w:p w14:paraId="326459A8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类别6其他未包括在以上的间接排放</w:t>
            </w:r>
          </w:p>
          <w:p w14:paraId="4ED0489D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6.4.2属于类别1直接排放的源/汇，应进行识别和量化。</w:t>
            </w:r>
          </w:p>
          <w:p w14:paraId="277E8CEC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6.4.3属于类别2-类别6的间接排放应依据附录3评价标准筛选出重大间接排放，进行识别和量化。识别评价过程记录于附录4。</w:t>
            </w:r>
          </w:p>
          <w:p w14:paraId="3CF10410">
            <w:pPr>
              <w:spacing w:before="156" w:beforeLines="50"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6.5量化方法学与应用</w:t>
            </w:r>
          </w:p>
          <w:p w14:paraId="0535BAD9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6.5.1量化方法包括测量或建模。基于技术和成本的可行性，选择和使用适当的量化方法学。（参考IPCC国家温室气体清单指南目录）</w:t>
            </w:r>
          </w:p>
          <w:p w14:paraId="794DD2EC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6.5.2选择适当的GWP值将每种温室气体数量转换成吨二氧化碳。GWP值应选用IPCC最新评估报告中100年对应的数值。</w:t>
            </w:r>
          </w:p>
          <w:p w14:paraId="39A19B80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6.5.3使用excel电子表或GHG信息系统，进行排放量计算。中间数据至少保留2位或以上小数，最终数据应保留2位小数，最终排放量以吨二氧化碳当量为单位。</w:t>
            </w:r>
          </w:p>
          <w:p w14:paraId="07D74968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6.5.4对于无重大贡献，且获取数据成本技术不可行的源/汇，可以进行排除，排除明细和理由在盘查报告中明确。</w:t>
            </w:r>
          </w:p>
          <w:p w14:paraId="6927CE54">
            <w:pPr>
              <w:spacing w:before="156" w:beforeLines="50"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6.6  数据收集系统</w:t>
            </w:r>
          </w:p>
          <w:p w14:paraId="37236B85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基于量化方法学，应建立数据收集系统，明确以下内容：</w:t>
            </w:r>
          </w:p>
          <w:p w14:paraId="64E0A295">
            <w:pPr>
              <w:numPr>
                <w:ilvl w:val="0"/>
                <w:numId w:val="2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数据源和载体</w:t>
            </w:r>
          </w:p>
          <w:p w14:paraId="18CA2318">
            <w:pPr>
              <w:numPr>
                <w:ilvl w:val="0"/>
                <w:numId w:val="2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数据收集频率和责任单位</w:t>
            </w:r>
          </w:p>
          <w:p w14:paraId="1DB117F4">
            <w:pPr>
              <w:numPr>
                <w:ilvl w:val="0"/>
                <w:numId w:val="2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数据传输流</w:t>
            </w:r>
          </w:p>
          <w:p w14:paraId="2DF0A304">
            <w:pPr>
              <w:numPr>
                <w:ilvl w:val="0"/>
                <w:numId w:val="2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数据处理</w:t>
            </w:r>
          </w:p>
          <w:p w14:paraId="03AA8CD9">
            <w:pPr>
              <w:numPr>
                <w:ilvl w:val="0"/>
                <w:numId w:val="2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无、数据与载体的保存</w:t>
            </w:r>
          </w:p>
          <w:p w14:paraId="40EA23BE">
            <w:pPr>
              <w:numPr>
                <w:ilvl w:val="0"/>
                <w:numId w:val="2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参考IPCC国家温室气体清单指南目录</w:t>
            </w:r>
          </w:p>
          <w:p w14:paraId="716A11BA">
            <w:pPr>
              <w:spacing w:before="156" w:beforeLines="50"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6.7  计量设备的管理</w:t>
            </w:r>
          </w:p>
          <w:p w14:paraId="0D370762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基于数据收集系统，按照《监视、测量与评价控制程序》对数据源所需的计量器具进行管理，包括：</w:t>
            </w:r>
          </w:p>
          <w:p w14:paraId="1322E2FE">
            <w:pPr>
              <w:numPr>
                <w:ilvl w:val="0"/>
                <w:numId w:val="3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建立计量器具台账和计量器具检定校准计划表；</w:t>
            </w:r>
          </w:p>
          <w:p w14:paraId="3C6ADA14">
            <w:pPr>
              <w:numPr>
                <w:ilvl w:val="0"/>
                <w:numId w:val="3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计量器具应定期校准和维护，保留校准和维护的证据。</w:t>
            </w:r>
          </w:p>
          <w:p w14:paraId="6A3D06C2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详见附录6。</w:t>
            </w:r>
          </w:p>
          <w:p w14:paraId="423923FB">
            <w:pPr>
              <w:spacing w:before="156" w:beforeLines="50"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6.8  不确定性评价</w:t>
            </w:r>
          </w:p>
          <w:p w14:paraId="2526366B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6.8.1排放量计算完后应进行不确定性评价。基于成本考虑，不确定性评价采用定性评价的方式，评价标准详见附录8。</w:t>
            </w:r>
          </w:p>
          <w:p w14:paraId="46025F5E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6.8.2应保留不确定性评价记录，详见附录8。</w:t>
            </w:r>
          </w:p>
          <w:p w14:paraId="64117156">
            <w:pPr>
              <w:spacing w:before="156" w:beforeLines="50"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6.9  准确度核查、内部审核与技术评审</w:t>
            </w:r>
          </w:p>
          <w:p w14:paraId="0C35E86E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6.9.1盘查小组完成排放量计算后，应采用现场确认、数据追溯和数据证据核对方式进行内部审核，数据交叉核算等方式进行准确度核查。</w:t>
            </w:r>
          </w:p>
          <w:p w14:paraId="0B2284ED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6.9.2内部审核和准确度核查可以与其他管理体系的内部审核一并实施。</w:t>
            </w:r>
          </w:p>
          <w:p w14:paraId="46523E15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6.9.3每年定期进行技术评审，评审内容包括以下内容：</w:t>
            </w:r>
          </w:p>
          <w:p w14:paraId="5C247821">
            <w:pPr>
              <w:numPr>
                <w:ilvl w:val="0"/>
                <w:numId w:val="3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产品生命周期评估报告（LCA）、盘查清册和盘查报告；</w:t>
            </w:r>
          </w:p>
          <w:p w14:paraId="7E217548">
            <w:pPr>
              <w:numPr>
                <w:ilvl w:val="0"/>
                <w:numId w:val="3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更新需求：组织边界、报告边界、量化方法学、数据收集系统；</w:t>
            </w:r>
          </w:p>
          <w:p w14:paraId="649D4F8D">
            <w:pPr>
              <w:numPr>
                <w:ilvl w:val="0"/>
                <w:numId w:val="3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基准年与再计算。</w:t>
            </w:r>
          </w:p>
          <w:p w14:paraId="0201D2EE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6.9.4技术评审可以与其他管理体系的管理评审一并实施。</w:t>
            </w:r>
          </w:p>
          <w:p w14:paraId="1B05ADDC">
            <w:pPr>
              <w:spacing w:before="156" w:beforeLines="50"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6.10  基准年</w:t>
            </w:r>
          </w:p>
          <w:p w14:paraId="43EB89A5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由于2024年是首次盘查，选择2023年作为基准年。</w:t>
            </w:r>
          </w:p>
          <w:p w14:paraId="3E0C5CAD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6.10.1当以下条件发生时，应考虑调整基准年或基准年再计算：</w:t>
            </w:r>
          </w:p>
          <w:p w14:paraId="7B4C3B9A">
            <w:pPr>
              <w:numPr>
                <w:ilvl w:val="0"/>
                <w:numId w:val="4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报告边界或组织边界发生结构性变化；</w:t>
            </w:r>
          </w:p>
          <w:p w14:paraId="36976C38">
            <w:pPr>
              <w:numPr>
                <w:ilvl w:val="0"/>
                <w:numId w:val="4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量化方法学发生变化；</w:t>
            </w:r>
          </w:p>
          <w:p w14:paraId="6A1F821F">
            <w:pPr>
              <w:numPr>
                <w:ilvl w:val="0"/>
                <w:numId w:val="4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发现一个或多个累积误差，累积误差总体上是实质性的。</w:t>
            </w:r>
          </w:p>
          <w:p w14:paraId="55CFE109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6.10.2如果发生基准年再计算，应在清册和报告中予以记录再计算的结果。</w:t>
            </w:r>
          </w:p>
          <w:p w14:paraId="22F90730">
            <w:pPr>
              <w:spacing w:before="156" w:beforeLines="50"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6.11  报告要求</w:t>
            </w:r>
          </w:p>
          <w:p w14:paraId="46958C03">
            <w:pPr>
              <w:numPr>
                <w:ilvl w:val="0"/>
                <w:numId w:val="5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盘查项目的成果输出：盘查报告应明确以下内容：</w:t>
            </w:r>
          </w:p>
          <w:p w14:paraId="7229252E">
            <w:pPr>
              <w:numPr>
                <w:ilvl w:val="0"/>
                <w:numId w:val="5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组织边界；</w:t>
            </w:r>
          </w:p>
          <w:p w14:paraId="2F844A9A">
            <w:pPr>
              <w:numPr>
                <w:ilvl w:val="0"/>
                <w:numId w:val="5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报告边界；</w:t>
            </w:r>
          </w:p>
          <w:p w14:paraId="012EB736">
            <w:pPr>
              <w:numPr>
                <w:ilvl w:val="0"/>
                <w:numId w:val="5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排放或移除的排放量；</w:t>
            </w:r>
          </w:p>
          <w:p w14:paraId="78374E1B">
            <w:pPr>
              <w:numPr>
                <w:ilvl w:val="0"/>
                <w:numId w:val="5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重大间接排放的排放量；</w:t>
            </w:r>
          </w:p>
          <w:p w14:paraId="7CBC6A8D">
            <w:pPr>
              <w:numPr>
                <w:ilvl w:val="0"/>
                <w:numId w:val="5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盘查时间周期；</w:t>
            </w:r>
          </w:p>
          <w:p w14:paraId="63509BA1">
            <w:pPr>
              <w:numPr>
                <w:ilvl w:val="0"/>
                <w:numId w:val="5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如有生物排放的，应单独量化和报告;</w:t>
            </w:r>
          </w:p>
          <w:p w14:paraId="266F6BCC">
            <w:pPr>
              <w:numPr>
                <w:ilvl w:val="0"/>
                <w:numId w:val="5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GHG盘查结论的输出;</w:t>
            </w:r>
          </w:p>
          <w:p w14:paraId="1B8731B3">
            <w:pPr>
              <w:numPr>
                <w:ilvl w:val="0"/>
                <w:numId w:val="5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产品生命周期评价（LCA）报告.</w:t>
            </w:r>
          </w:p>
          <w:p w14:paraId="2C8A6989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6.11.1盘查小组编制盘查报告后交组长审核，之后经过第三方核查确定后，提交最高管理者批准发布和存档。</w:t>
            </w:r>
          </w:p>
          <w:p w14:paraId="54FF6783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6.11.2盘查报告格式详见附录9、10、11。</w:t>
            </w:r>
          </w:p>
          <w:p w14:paraId="6532F603">
            <w:pPr>
              <w:spacing w:before="156" w:beforeLines="50"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6.12文件控制</w:t>
            </w:r>
          </w:p>
          <w:p w14:paraId="6F14C0BB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按照公司的《文件和记录控制程序》进行。需要的文件包括：</w:t>
            </w:r>
          </w:p>
          <w:p w14:paraId="0A32B881">
            <w:pPr>
              <w:numPr>
                <w:ilvl w:val="0"/>
                <w:numId w:val="6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本规定;</w:t>
            </w:r>
          </w:p>
          <w:p w14:paraId="56DCD5FF">
            <w:pPr>
              <w:numPr>
                <w:ilvl w:val="0"/>
                <w:numId w:val="6"/>
              </w:numPr>
              <w:spacing w:line="500" w:lineRule="exact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采用的文献和标准;</w:t>
            </w:r>
          </w:p>
          <w:p w14:paraId="710A8D1F">
            <w:pPr>
              <w:numPr>
                <w:ilvl w:val="0"/>
                <w:numId w:val="6"/>
              </w:numPr>
              <w:spacing w:line="500" w:lineRule="exact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重大GHG间接排放识别和评价记录;</w:t>
            </w:r>
          </w:p>
          <w:p w14:paraId="3CD4D745">
            <w:pPr>
              <w:numPr>
                <w:ilvl w:val="0"/>
                <w:numId w:val="6"/>
              </w:numPr>
              <w:spacing w:line="500" w:lineRule="exact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盘查所需数据的来源证据;</w:t>
            </w:r>
          </w:p>
          <w:p w14:paraId="4C535964">
            <w:pPr>
              <w:numPr>
                <w:ilvl w:val="0"/>
                <w:numId w:val="6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量化过程记录;</w:t>
            </w:r>
          </w:p>
          <w:p w14:paraId="34993DAD">
            <w:pPr>
              <w:numPr>
                <w:ilvl w:val="0"/>
                <w:numId w:val="6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计量器具的校准证据;</w:t>
            </w:r>
          </w:p>
          <w:p w14:paraId="75DFE259">
            <w:pPr>
              <w:numPr>
                <w:ilvl w:val="0"/>
                <w:numId w:val="6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不确定性评价证据;</w:t>
            </w:r>
          </w:p>
          <w:p w14:paraId="28FB5BA2">
            <w:pPr>
              <w:numPr>
                <w:ilvl w:val="0"/>
                <w:numId w:val="6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盘查期的GHG盘查清册和盘查报告;</w:t>
            </w:r>
          </w:p>
          <w:p w14:paraId="4DF70D86">
            <w:pPr>
              <w:numPr>
                <w:ilvl w:val="0"/>
                <w:numId w:val="6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基准年的GHG盘查清册和盘查报告;</w:t>
            </w:r>
          </w:p>
          <w:p w14:paraId="19CEA5F3">
            <w:pPr>
              <w:numPr>
                <w:ilvl w:val="0"/>
                <w:numId w:val="6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基准年再计算过程记录（适用时）;</w:t>
            </w:r>
          </w:p>
          <w:p w14:paraId="27C10DB5">
            <w:pPr>
              <w:numPr>
                <w:ilvl w:val="0"/>
                <w:numId w:val="6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技术评审证据;</w:t>
            </w:r>
          </w:p>
          <w:p w14:paraId="34379599">
            <w:pPr>
              <w:numPr>
                <w:ilvl w:val="0"/>
                <w:numId w:val="6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第三方核查声明;</w:t>
            </w:r>
          </w:p>
          <w:p w14:paraId="5372D4F0">
            <w:pPr>
              <w:spacing w:before="156" w:beforeLines="50"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6.13   减排行动</w:t>
            </w:r>
          </w:p>
          <w:p w14:paraId="775FEA87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基于战略、业务、相关方需求和风险机遇的考虑，可以考虑以下减排措施：</w:t>
            </w:r>
          </w:p>
          <w:p w14:paraId="35B53A19">
            <w:pPr>
              <w:numPr>
                <w:ilvl w:val="0"/>
                <w:numId w:val="7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用能管理；</w:t>
            </w:r>
          </w:p>
          <w:p w14:paraId="0482B112">
            <w:pPr>
              <w:numPr>
                <w:ilvl w:val="0"/>
                <w:numId w:val="7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燃料替代；</w:t>
            </w:r>
          </w:p>
          <w:p w14:paraId="24CFA6CE">
            <w:pPr>
              <w:numPr>
                <w:ilvl w:val="0"/>
                <w:numId w:val="7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制冷剂管理；</w:t>
            </w:r>
          </w:p>
          <w:p w14:paraId="4D3EE734">
            <w:pPr>
              <w:numPr>
                <w:ilvl w:val="0"/>
                <w:numId w:val="7"/>
              </w:numPr>
              <w:spacing w:line="5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购买碳额度。</w:t>
            </w:r>
          </w:p>
          <w:p w14:paraId="0138A2D7">
            <w:pPr>
              <w:spacing w:line="500" w:lineRule="exact"/>
              <w:rPr>
                <w:rFonts w:hint="eastAsia" w:ascii="宋体" w:hAnsi="宋体" w:cs="宋体"/>
                <w:sz w:val="24"/>
              </w:rPr>
            </w:pPr>
          </w:p>
          <w:p w14:paraId="74CBC9A0">
            <w:pPr>
              <w:spacing w:line="360" w:lineRule="auto"/>
              <w:jc w:val="left"/>
              <w:rPr>
                <w:rFonts w:hint="eastAsia" w:ascii="宋体" w:hAnsi="宋体" w:cs="Arial"/>
                <w:b/>
                <w:szCs w:val="21"/>
              </w:rPr>
            </w:pPr>
          </w:p>
        </w:tc>
      </w:tr>
      <w:tr w14:paraId="5A2716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206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0B71180">
            <w:pPr>
              <w:spacing w:line="360" w:lineRule="auto"/>
              <w:jc w:val="left"/>
              <w:rPr>
                <w:rFonts w:ascii="Arial" w:hAnsi="Arial" w:cs="Arial"/>
                <w:b/>
                <w:szCs w:val="21"/>
              </w:rPr>
            </w:pPr>
            <w:r>
              <w:rPr>
                <w:rFonts w:hint="eastAsia" w:ascii="Arial" w:hAnsi="Arial" w:cs="Arial"/>
                <w:b/>
                <w:szCs w:val="21"/>
              </w:rPr>
              <w:t>7.</w:t>
            </w:r>
            <w:r>
              <w:rPr>
                <w:rFonts w:ascii="Arial" w:hAnsi="Arial" w:cs="Arial"/>
                <w:b/>
                <w:szCs w:val="21"/>
              </w:rPr>
              <w:t xml:space="preserve"> </w:t>
            </w:r>
            <w:r>
              <w:rPr>
                <w:rFonts w:hint="eastAsia" w:ascii="Arial" w:hAnsi="Arial" w:cs="Arial"/>
                <w:b/>
                <w:szCs w:val="21"/>
              </w:rPr>
              <w:t>相关文件</w:t>
            </w:r>
          </w:p>
        </w:tc>
      </w:tr>
      <w:tr w14:paraId="5AF317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</w:tcPr>
          <w:p w14:paraId="2898B16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6775" w:type="dxa"/>
            <w:gridSpan w:val="9"/>
            <w:tcBorders>
              <w:top w:val="single" w:color="auto" w:sz="6" w:space="0"/>
              <w:bottom w:val="single" w:color="auto" w:sz="6" w:space="0"/>
            </w:tcBorders>
          </w:tcPr>
          <w:p w14:paraId="04DBA820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文件名称</w:t>
            </w:r>
          </w:p>
        </w:tc>
        <w:tc>
          <w:tcPr>
            <w:tcW w:w="185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9CD7AF6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文件编号</w:t>
            </w:r>
          </w:p>
        </w:tc>
      </w:tr>
      <w:tr w14:paraId="2CCEC9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AC8D000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1</w:t>
            </w:r>
          </w:p>
        </w:tc>
        <w:tc>
          <w:tcPr>
            <w:tcW w:w="6775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4E06E43">
            <w:pPr>
              <w:tabs>
                <w:tab w:val="left" w:pos="1485"/>
              </w:tabs>
              <w:jc w:val="center"/>
              <w:rPr>
                <w:rFonts w:hint="eastAsia" w:ascii="Arial" w:hAnsi="宋体" w:cs="Arial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《文件和记录控制程序》</w:t>
            </w:r>
          </w:p>
        </w:tc>
        <w:tc>
          <w:tcPr>
            <w:tcW w:w="185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0F2C725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Q-GDLD-QP01</w:t>
            </w:r>
          </w:p>
        </w:tc>
      </w:tr>
      <w:tr w14:paraId="258B40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206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40AC0C4">
            <w:pPr>
              <w:spacing w:line="360" w:lineRule="auto"/>
              <w:jc w:val="left"/>
              <w:rPr>
                <w:rFonts w:ascii="Arial" w:hAnsi="Arial" w:cs="Arial"/>
                <w:b/>
                <w:szCs w:val="21"/>
              </w:rPr>
            </w:pPr>
          </w:p>
          <w:p w14:paraId="7B91DAFE">
            <w:pPr>
              <w:spacing w:line="360" w:lineRule="auto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Arial" w:hAnsi="Arial" w:cs="Arial"/>
                <w:b/>
                <w:szCs w:val="21"/>
              </w:rPr>
              <w:t>8.</w:t>
            </w:r>
            <w:r>
              <w:rPr>
                <w:rFonts w:ascii="Arial" w:hAnsi="Arial" w:cs="Arial"/>
                <w:b/>
                <w:szCs w:val="21"/>
              </w:rPr>
              <w:t xml:space="preserve"> </w:t>
            </w:r>
            <w:r>
              <w:rPr>
                <w:rFonts w:hint="eastAsia" w:ascii="Arial" w:hAnsi="Arial" w:cs="Arial"/>
                <w:b/>
                <w:szCs w:val="21"/>
              </w:rPr>
              <w:t>相关记录</w:t>
            </w:r>
          </w:p>
        </w:tc>
      </w:tr>
      <w:tr w14:paraId="394423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A37576D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51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821EF60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记录名称</w:t>
            </w:r>
          </w:p>
        </w:tc>
        <w:tc>
          <w:tcPr>
            <w:tcW w:w="1499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8E91C9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记录编号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</w:tcPr>
          <w:p w14:paraId="21FB1AE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保存期限</w:t>
            </w:r>
          </w:p>
        </w:tc>
      </w:tr>
      <w:tr w14:paraId="5ABCA5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62224CC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1</w:t>
            </w:r>
          </w:p>
        </w:tc>
        <w:tc>
          <w:tcPr>
            <w:tcW w:w="51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6EA4B59">
            <w:pPr>
              <w:tabs>
                <w:tab w:val="left" w:pos="1485"/>
              </w:tabs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附录1组织平面图和组织边界</w:t>
            </w:r>
          </w:p>
        </w:tc>
        <w:tc>
          <w:tcPr>
            <w:tcW w:w="1499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455979BC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hint="eastAsia" w:ascii="Arial" w:hAnsi="Arial" w:cs="Arial"/>
                <w:bCs/>
                <w:sz w:val="24"/>
              </w:rPr>
              <w:t>B01-JL01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</w:tcPr>
          <w:p w14:paraId="14A00A6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3年</w:t>
            </w:r>
          </w:p>
        </w:tc>
      </w:tr>
      <w:tr w14:paraId="1D39FE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212F40D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2</w:t>
            </w:r>
          </w:p>
        </w:tc>
        <w:tc>
          <w:tcPr>
            <w:tcW w:w="51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C2964A5"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附录2盘查小组名单与任命书</w:t>
            </w:r>
          </w:p>
        </w:tc>
        <w:tc>
          <w:tcPr>
            <w:tcW w:w="1499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5B070A8C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hint="eastAsia" w:ascii="Arial" w:hAnsi="Arial" w:cs="Arial"/>
                <w:bCs/>
                <w:sz w:val="24"/>
              </w:rPr>
              <w:t>B01-JL02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</w:tcPr>
          <w:p w14:paraId="382C796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3年</w:t>
            </w:r>
          </w:p>
        </w:tc>
      </w:tr>
      <w:tr w14:paraId="668615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4D3CA7B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3</w:t>
            </w:r>
          </w:p>
        </w:tc>
        <w:tc>
          <w:tcPr>
            <w:tcW w:w="51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C0BAC65">
            <w:pPr>
              <w:tabs>
                <w:tab w:val="left" w:pos="1485"/>
              </w:tabs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附录3重大GHG间接排放评价标准</w:t>
            </w:r>
          </w:p>
        </w:tc>
        <w:tc>
          <w:tcPr>
            <w:tcW w:w="1499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46E1851E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hint="eastAsia" w:ascii="Arial" w:hAnsi="Arial" w:cs="Arial"/>
                <w:bCs/>
                <w:sz w:val="24"/>
              </w:rPr>
              <w:t>B01-JL03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</w:tcPr>
          <w:p w14:paraId="54BCB55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3年</w:t>
            </w:r>
          </w:p>
        </w:tc>
      </w:tr>
      <w:tr w14:paraId="1BC91F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0EB7852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4</w:t>
            </w:r>
          </w:p>
        </w:tc>
        <w:tc>
          <w:tcPr>
            <w:tcW w:w="51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473C3B9">
            <w:pPr>
              <w:spacing w:line="5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附录4重大GHG间接排放识别</w:t>
            </w:r>
          </w:p>
          <w:p w14:paraId="08285332"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和评价表</w:t>
            </w:r>
          </w:p>
        </w:tc>
        <w:tc>
          <w:tcPr>
            <w:tcW w:w="1499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0E0C677B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hint="eastAsia" w:ascii="Arial" w:hAnsi="Arial" w:cs="Arial"/>
                <w:bCs/>
                <w:sz w:val="24"/>
              </w:rPr>
              <w:t>B01-JL04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</w:tcPr>
          <w:p w14:paraId="0CEA83A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3年</w:t>
            </w:r>
          </w:p>
        </w:tc>
      </w:tr>
      <w:tr w14:paraId="746DCD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DDD1EF4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5</w:t>
            </w:r>
          </w:p>
        </w:tc>
        <w:tc>
          <w:tcPr>
            <w:tcW w:w="51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6F93BA6"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附录5 IPCC国家温室气体清单指南目录</w:t>
            </w:r>
          </w:p>
        </w:tc>
        <w:tc>
          <w:tcPr>
            <w:tcW w:w="1499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5272344F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hint="eastAsia" w:ascii="Arial" w:hAnsi="Arial" w:cs="Arial"/>
                <w:bCs/>
                <w:sz w:val="24"/>
              </w:rPr>
              <w:t>B01-JL05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</w:tcPr>
          <w:p w14:paraId="024D8ED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3年</w:t>
            </w:r>
          </w:p>
        </w:tc>
      </w:tr>
      <w:tr w14:paraId="7C23CC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3769F8A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6</w:t>
            </w:r>
          </w:p>
        </w:tc>
        <w:tc>
          <w:tcPr>
            <w:tcW w:w="51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8D339E3"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附录6 计量器具台账</w:t>
            </w:r>
          </w:p>
        </w:tc>
        <w:tc>
          <w:tcPr>
            <w:tcW w:w="1499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0A60A19E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hint="eastAsia" w:ascii="Arial" w:hAnsi="Arial" w:cs="Arial"/>
                <w:bCs/>
                <w:sz w:val="24"/>
              </w:rPr>
              <w:t>B01-JL06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</w:tcPr>
          <w:p w14:paraId="3824F04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3年</w:t>
            </w:r>
          </w:p>
        </w:tc>
      </w:tr>
      <w:tr w14:paraId="2A4FA9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45EE2DB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7</w:t>
            </w:r>
          </w:p>
        </w:tc>
        <w:tc>
          <w:tcPr>
            <w:tcW w:w="51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731A2EE"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附录7 不确定性评价标准</w:t>
            </w:r>
          </w:p>
        </w:tc>
        <w:tc>
          <w:tcPr>
            <w:tcW w:w="1499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56446737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hint="eastAsia" w:ascii="Arial" w:hAnsi="Arial" w:cs="Arial"/>
                <w:bCs/>
                <w:sz w:val="24"/>
              </w:rPr>
              <w:t>B01-JL07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</w:tcPr>
          <w:p w14:paraId="19389242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3年</w:t>
            </w:r>
          </w:p>
        </w:tc>
      </w:tr>
      <w:tr w14:paraId="666F0E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D1F833C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8</w:t>
            </w:r>
          </w:p>
        </w:tc>
        <w:tc>
          <w:tcPr>
            <w:tcW w:w="51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CFA6379"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附录8不确定性评价表附录9 盘查报告</w:t>
            </w:r>
          </w:p>
        </w:tc>
        <w:tc>
          <w:tcPr>
            <w:tcW w:w="1499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3CC6E828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hint="eastAsia" w:ascii="Arial" w:hAnsi="Arial" w:cs="Arial"/>
                <w:bCs/>
                <w:sz w:val="24"/>
              </w:rPr>
              <w:t>B01-JL08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</w:tcPr>
          <w:p w14:paraId="35C52025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3年</w:t>
            </w:r>
          </w:p>
        </w:tc>
      </w:tr>
      <w:tr w14:paraId="2A7D21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D8EDCCB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9</w:t>
            </w:r>
          </w:p>
        </w:tc>
        <w:tc>
          <w:tcPr>
            <w:tcW w:w="51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CB924D8"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附录9 盘查报告</w:t>
            </w:r>
          </w:p>
        </w:tc>
        <w:tc>
          <w:tcPr>
            <w:tcW w:w="1499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65C76F26">
            <w:pPr>
              <w:jc w:val="center"/>
              <w:rPr>
                <w:rFonts w:hint="eastAsia" w:ascii="Arial" w:hAnsi="Arial" w:cs="Arial"/>
                <w:bCs/>
                <w:sz w:val="24"/>
              </w:rPr>
            </w:pPr>
            <w:r>
              <w:rPr>
                <w:rFonts w:hint="eastAsia" w:ascii="Arial" w:hAnsi="Arial" w:cs="Arial"/>
                <w:bCs/>
                <w:sz w:val="24"/>
              </w:rPr>
              <w:t>--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</w:tcPr>
          <w:p w14:paraId="2EFFE83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3年</w:t>
            </w:r>
          </w:p>
        </w:tc>
      </w:tr>
      <w:tr w14:paraId="59CEEA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D6A1F6F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10</w:t>
            </w:r>
          </w:p>
        </w:tc>
        <w:tc>
          <w:tcPr>
            <w:tcW w:w="51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B4496C8"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附录10盘查声明</w:t>
            </w:r>
          </w:p>
        </w:tc>
        <w:tc>
          <w:tcPr>
            <w:tcW w:w="1499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615925A2">
            <w:pPr>
              <w:jc w:val="center"/>
              <w:rPr>
                <w:rFonts w:hint="eastAsia" w:ascii="Arial" w:hAnsi="Arial" w:cs="Arial"/>
                <w:bCs/>
                <w:sz w:val="24"/>
              </w:rPr>
            </w:pPr>
            <w:r>
              <w:rPr>
                <w:rFonts w:hint="eastAsia" w:ascii="Arial" w:hAnsi="Arial" w:cs="Arial"/>
                <w:bCs/>
                <w:sz w:val="24"/>
              </w:rPr>
              <w:t>--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</w:tcPr>
          <w:p w14:paraId="3405B3C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3年</w:t>
            </w:r>
          </w:p>
        </w:tc>
      </w:tr>
      <w:tr w14:paraId="33DDE2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7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1F8D218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11</w:t>
            </w:r>
          </w:p>
        </w:tc>
        <w:tc>
          <w:tcPr>
            <w:tcW w:w="5134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1A0E850">
            <w:pPr>
              <w:spacing w:line="5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附录11产品生命周期评估报告（LCA）</w:t>
            </w:r>
          </w:p>
        </w:tc>
        <w:tc>
          <w:tcPr>
            <w:tcW w:w="1499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 w14:paraId="44FD402B">
            <w:pPr>
              <w:jc w:val="center"/>
              <w:rPr>
                <w:rFonts w:ascii="Arial" w:hAnsi="Arial" w:cs="Arial"/>
                <w:bCs/>
                <w:sz w:val="24"/>
              </w:rPr>
            </w:pPr>
            <w:r>
              <w:rPr>
                <w:rFonts w:hint="eastAsia" w:ascii="Arial" w:hAnsi="Arial" w:cs="Arial"/>
                <w:bCs/>
                <w:sz w:val="24"/>
              </w:rPr>
              <w:t>B01-JL11</w:t>
            </w:r>
          </w:p>
        </w:tc>
        <w:tc>
          <w:tcPr>
            <w:tcW w:w="1999" w:type="dxa"/>
            <w:gridSpan w:val="3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</w:tcPr>
          <w:p w14:paraId="42939C3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3年</w:t>
            </w:r>
          </w:p>
        </w:tc>
      </w:tr>
      <w:tr w14:paraId="7622D1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0206" w:type="dxa"/>
            <w:gridSpan w:val="1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249D207">
            <w:pPr>
              <w:spacing w:line="360" w:lineRule="auto"/>
              <w:jc w:val="center"/>
            </w:pPr>
            <w:r>
              <w:br w:type="page"/>
            </w:r>
          </w:p>
          <w:p w14:paraId="450B5253">
            <w:pPr>
              <w:spacing w:line="360" w:lineRule="auto"/>
              <w:jc w:val="center"/>
            </w:pPr>
          </w:p>
          <w:p w14:paraId="5E6216B0">
            <w:pPr>
              <w:spacing w:line="360" w:lineRule="auto"/>
            </w:pPr>
          </w:p>
          <w:p w14:paraId="740D4449">
            <w:pPr>
              <w:spacing w:line="360" w:lineRule="auto"/>
            </w:pPr>
          </w:p>
          <w:p w14:paraId="3C01A95E">
            <w:pPr>
              <w:spacing w:line="360" w:lineRule="auto"/>
            </w:pPr>
          </w:p>
          <w:p w14:paraId="26CB56F0">
            <w:pPr>
              <w:spacing w:line="360" w:lineRule="auto"/>
            </w:pP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7019925</wp:posOffset>
                  </wp:positionH>
                  <wp:positionV relativeFrom="paragraph">
                    <wp:posOffset>263525</wp:posOffset>
                  </wp:positionV>
                  <wp:extent cx="6238875" cy="1885950"/>
                  <wp:effectExtent l="0" t="0" r="9525" b="0"/>
                  <wp:wrapNone/>
                  <wp:docPr id="2" name="图片 2" descr="F:\飞信文件\WeChat Files\wxid_xrlx0ikql9aa22\FileStorage\Temp\1694067435177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F:\飞信文件\WeChat Files\wxid_xrlx0ikql9aa22\FileStorage\Temp\1694067435177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38875" cy="188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1D2FC38">
            <w:pPr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文件更改履历</w:t>
            </w:r>
          </w:p>
        </w:tc>
      </w:tr>
      <w:tr w14:paraId="718869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269" w:type="dxa"/>
            <w:gridSpan w:val="3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30D2B1D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版本/修订状态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1DFC5BF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修订日期</w:t>
            </w:r>
          </w:p>
        </w:tc>
        <w:tc>
          <w:tcPr>
            <w:tcW w:w="4535" w:type="dxa"/>
            <w:gridSpan w:val="6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7561FA8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修订原因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4AD53CC0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修订人</w:t>
            </w:r>
          </w:p>
        </w:tc>
      </w:tr>
      <w:tr w14:paraId="44E9A8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269" w:type="dxa"/>
            <w:gridSpan w:val="3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194994E4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A/0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36E1C047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2024.01.01</w:t>
            </w:r>
          </w:p>
        </w:tc>
        <w:tc>
          <w:tcPr>
            <w:tcW w:w="4535" w:type="dxa"/>
            <w:gridSpan w:val="6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0D9A2848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新规制定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 w14:paraId="6E080661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黎雪芬</w:t>
            </w:r>
          </w:p>
        </w:tc>
      </w:tr>
      <w:tr w14:paraId="36FDAF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0206" w:type="dxa"/>
            <w:gridSpan w:val="12"/>
            <w:tcBorders>
              <w:top w:val="single" w:color="auto" w:sz="6" w:space="0"/>
            </w:tcBorders>
            <w:vAlign w:val="center"/>
          </w:tcPr>
          <w:p w14:paraId="52E7B5FA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1E3D09CB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26AD7FA6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6906C10B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4328B69C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0BF262EE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6CC9F948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1B6D4189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4977DA58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160036F1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21486E48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72BB7281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1C24C177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491EBCC9"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 w14:paraId="3B3D3A98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CD32C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4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D3B5E96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版本/修订状态</w:t>
            </w:r>
          </w:p>
        </w:tc>
        <w:tc>
          <w:tcPr>
            <w:tcW w:w="204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9A8881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生效日期</w:t>
            </w:r>
          </w:p>
        </w:tc>
        <w:tc>
          <w:tcPr>
            <w:tcW w:w="204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17AC8C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批   准</w:t>
            </w:r>
          </w:p>
        </w:tc>
        <w:tc>
          <w:tcPr>
            <w:tcW w:w="204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E74767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   核</w:t>
            </w:r>
          </w:p>
        </w:tc>
        <w:tc>
          <w:tcPr>
            <w:tcW w:w="204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4F2AC9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编   制</w:t>
            </w:r>
          </w:p>
        </w:tc>
      </w:tr>
      <w:tr w14:paraId="2D4227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4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C71B88E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</w:p>
          <w:p w14:paraId="61C206D6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</w:p>
          <w:p w14:paraId="6B8D2545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A/0</w:t>
            </w:r>
          </w:p>
          <w:p w14:paraId="20DBA6A1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</w:p>
          <w:p w14:paraId="25942AF5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204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040C2E2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2024.01.01</w:t>
            </w:r>
          </w:p>
        </w:tc>
        <w:tc>
          <w:tcPr>
            <w:tcW w:w="204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F8135B1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360680</wp:posOffset>
                  </wp:positionH>
                  <wp:positionV relativeFrom="paragraph">
                    <wp:posOffset>-28575</wp:posOffset>
                  </wp:positionV>
                  <wp:extent cx="535305" cy="426720"/>
                  <wp:effectExtent l="0" t="0" r="13335" b="0"/>
                  <wp:wrapSquare wrapText="bothSides"/>
                  <wp:docPr id="1" name="图片 2" descr="14bad82bf075fcba371010799dfce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14bad82bf075fcba371010799dfce42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lum contrast="6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305" cy="42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4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AF575C1">
            <w:pPr>
              <w:tabs>
                <w:tab w:val="left" w:pos="1485"/>
              </w:tabs>
              <w:jc w:val="center"/>
              <w:rPr>
                <w:rFonts w:hint="eastAsia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4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203200</wp:posOffset>
                  </wp:positionH>
                  <wp:positionV relativeFrom="paragraph">
                    <wp:posOffset>210185</wp:posOffset>
                  </wp:positionV>
                  <wp:extent cx="603250" cy="338455"/>
                  <wp:effectExtent l="0" t="0" r="6350" b="12065"/>
                  <wp:wrapTight wrapText="bothSides">
                    <wp:wrapPolygon>
                      <wp:start x="0" y="0"/>
                      <wp:lineTo x="0" y="20425"/>
                      <wp:lineTo x="21282" y="20425"/>
                      <wp:lineTo x="21282" y="0"/>
                      <wp:lineTo x="0" y="0"/>
                    </wp:wrapPolygon>
                  </wp:wrapTight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lum contrast="11999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50" cy="33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04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5B35EA1">
            <w:pPr>
              <w:tabs>
                <w:tab w:val="left" w:pos="1485"/>
              </w:tabs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黎雪芬</w:t>
            </w:r>
          </w:p>
        </w:tc>
      </w:tr>
    </w:tbl>
    <w:p w14:paraId="5DF2FBC5">
      <w:pPr>
        <w:spacing w:line="20" w:lineRule="exact"/>
      </w:pPr>
    </w:p>
    <w:p w14:paraId="4DB1A855">
      <w:pPr>
        <w:spacing w:line="20" w:lineRule="exact"/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851" w:bottom="1134" w:left="85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63FA00">
    <w:pPr>
      <w:pStyle w:val="5"/>
      <w:wordWrap w:val="0"/>
      <w:jc w:val="right"/>
    </w:pPr>
    <w:r>
      <w:rPr>
        <w:rFonts w:hint="eastAsia"/>
      </w:rPr>
      <w:t xml:space="preserve">                                           第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  <w:r>
      <w:rPr>
        <w:rFonts w:hint="eastAsia"/>
      </w:rPr>
      <w:t>页，共2页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659755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0A1477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57916">
    <w:pPr>
      <w:pStyle w:val="6"/>
      <w:pBdr>
        <w:bottom w:val="single" w:color="auto" w:sz="6" w:space="0"/>
      </w:pBdr>
      <w:jc w:val="right"/>
    </w:pPr>
    <w:r>
      <w:drawing>
        <wp:anchor distT="0" distB="0" distL="114300" distR="114300" simplePos="0" relativeHeight="251659264" behindDoc="0" locked="0" layoutInCell="0" allowOverlap="1">
          <wp:simplePos x="0" y="0"/>
          <wp:positionH relativeFrom="margin">
            <wp:posOffset>24130</wp:posOffset>
          </wp:positionH>
          <wp:positionV relativeFrom="paragraph">
            <wp:posOffset>34290</wp:posOffset>
          </wp:positionV>
          <wp:extent cx="970915" cy="247015"/>
          <wp:effectExtent l="0" t="0" r="4445" b="12065"/>
          <wp:wrapSquare wrapText="bothSides"/>
          <wp:docPr id="3" name="图片 2574070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5740707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70915" cy="247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3631C68">
    <w:pPr>
      <w:pStyle w:val="6"/>
      <w:pBdr>
        <w:bottom w:val="single" w:color="auto" w:sz="6" w:space="0"/>
      </w:pBdr>
      <w:jc w:val="right"/>
    </w:pPr>
    <w:r>
      <w:rPr>
        <w:rFonts w:hint="eastAsia"/>
      </w:rPr>
      <w:t xml:space="preserve">                                                                             </w:t>
    </w:r>
    <w:r>
      <w:t xml:space="preserve">                 </w:t>
    </w:r>
    <w:r>
      <w:rPr>
        <w:rFonts w:hint="eastAsia"/>
      </w:rPr>
      <w:t xml:space="preserve"> </w:t>
    </w:r>
    <w:r>
      <w:t xml:space="preserve">      </w:t>
    </w:r>
  </w:p>
  <w:p w14:paraId="7C458C55">
    <w:pPr>
      <w:pStyle w:val="6"/>
      <w:pBdr>
        <w:bottom w:val="single" w:color="auto" w:sz="6" w:space="0"/>
      </w:pBdr>
      <w:jc w:val="right"/>
    </w:pPr>
    <w:r>
      <w:rPr>
        <w:rFonts w:hint="eastAsia"/>
      </w:rPr>
      <w:t>广东隆达铝业有限公司</w:t>
    </w:r>
  </w:p>
  <w:tbl>
    <w:tblPr>
      <w:tblStyle w:val="7"/>
      <w:tblW w:w="9900" w:type="dxa"/>
      <w:tblInd w:w="108" w:type="dxa"/>
      <w:tblBorders>
        <w:top w:val="none" w:color="auto" w:sz="0" w:space="0"/>
        <w:left w:val="none" w:color="auto" w:sz="0" w:space="0"/>
        <w:bottom w:val="single" w:color="auto" w:sz="4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9900"/>
    </w:tblGrid>
    <w:tr w14:paraId="3C605415">
      <w:tblPrEx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693" w:hRule="atLeast"/>
      </w:trPr>
      <w:tc>
        <w:tcPr>
          <w:tcW w:w="9900" w:type="dxa"/>
          <w:vAlign w:val="center"/>
        </w:tcPr>
        <w:p w14:paraId="13258ED2">
          <w:pPr>
            <w:spacing w:before="72" w:beforeLines="30" w:line="480" w:lineRule="exact"/>
            <w:jc w:val="center"/>
            <w:rPr>
              <w:rFonts w:ascii="黑体" w:eastAsia="黑体"/>
              <w:b/>
              <w:sz w:val="30"/>
              <w:szCs w:val="30"/>
            </w:rPr>
          </w:pPr>
          <w:r>
            <w:rPr>
              <w:rFonts w:hint="eastAsia" w:ascii="黑体" w:eastAsia="黑体"/>
              <w:b/>
              <w:sz w:val="30"/>
              <w:szCs w:val="30"/>
            </w:rPr>
            <w:t>生命周期评价管理规定</w:t>
          </w:r>
        </w:p>
        <w:p w14:paraId="22E4BE2C">
          <w:pPr>
            <w:jc w:val="left"/>
            <w:rPr>
              <w:rFonts w:ascii="Arial" w:hAnsi="Arial" w:cs="Arial"/>
              <w:b/>
              <w:szCs w:val="21"/>
            </w:rPr>
          </w:pPr>
          <w:r>
            <w:rPr>
              <w:rFonts w:hint="eastAsia"/>
            </w:rPr>
            <w:t>编号：</w:t>
          </w:r>
          <w:r>
            <w:rPr>
              <w:rFonts w:hint="eastAsia" w:asciiTheme="minorEastAsia" w:hAnsiTheme="minorEastAsia" w:eastAsiaTheme="minorEastAsia" w:cstheme="minorEastAsia"/>
              <w:b/>
              <w:sz w:val="18"/>
              <w:szCs w:val="18"/>
              <w:lang w:val="en-US" w:eastAsia="zh-CN"/>
            </w:rPr>
            <w:t>A</w:t>
          </w:r>
          <w:r>
            <w:rPr>
              <w:rFonts w:hint="eastAsia" w:asciiTheme="minorEastAsia" w:hAnsiTheme="minorEastAsia" w:eastAsiaTheme="minorEastAsia" w:cstheme="minorEastAsia"/>
              <w:b/>
              <w:sz w:val="18"/>
              <w:szCs w:val="18"/>
            </w:rPr>
            <w:t>-GDLD-ASG-B01                                                                          版本：A/0</w:t>
          </w:r>
          <w:r>
            <w:rPr>
              <w:rFonts w:hint="eastAsia"/>
              <w:szCs w:val="21"/>
            </w:rPr>
            <w:t xml:space="preserve"> </w:t>
          </w:r>
        </w:p>
      </w:tc>
    </w:tr>
  </w:tbl>
  <w:p w14:paraId="56868903">
    <w:pPr>
      <w:tabs>
        <w:tab w:val="left" w:pos="795"/>
        <w:tab w:val="right" w:pos="9921"/>
      </w:tabs>
      <w:spacing w:line="14" w:lineRule="exact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03DAA5"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BEFA80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3508EA"/>
    <w:multiLevelType w:val="singleLevel"/>
    <w:tmpl w:val="8E3508EA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7F0F24B"/>
    <w:multiLevelType w:val="singleLevel"/>
    <w:tmpl w:val="97F0F24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B5734B10"/>
    <w:multiLevelType w:val="singleLevel"/>
    <w:tmpl w:val="B5734B10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D56BAC50"/>
    <w:multiLevelType w:val="singleLevel"/>
    <w:tmpl w:val="D56BAC50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13102CAF"/>
    <w:multiLevelType w:val="singleLevel"/>
    <w:tmpl w:val="13102CAF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3905D5D6"/>
    <w:multiLevelType w:val="singleLevel"/>
    <w:tmpl w:val="3905D5D6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5E157967"/>
    <w:multiLevelType w:val="singleLevel"/>
    <w:tmpl w:val="5E157967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mYjM2MjZhYWQxNDkxYWRkNzk2M2Y1MjlkOGViMGEifQ=="/>
  </w:docVars>
  <w:rsids>
    <w:rsidRoot w:val="00B4784A"/>
    <w:rsid w:val="00000B86"/>
    <w:rsid w:val="00001A5C"/>
    <w:rsid w:val="0001030C"/>
    <w:rsid w:val="00010D00"/>
    <w:rsid w:val="00015CE4"/>
    <w:rsid w:val="00021591"/>
    <w:rsid w:val="000218DD"/>
    <w:rsid w:val="00026B60"/>
    <w:rsid w:val="00027B50"/>
    <w:rsid w:val="00030674"/>
    <w:rsid w:val="00033693"/>
    <w:rsid w:val="00036F14"/>
    <w:rsid w:val="000375BC"/>
    <w:rsid w:val="0003779D"/>
    <w:rsid w:val="00037FF9"/>
    <w:rsid w:val="000408FD"/>
    <w:rsid w:val="0004314A"/>
    <w:rsid w:val="000442D6"/>
    <w:rsid w:val="00050A41"/>
    <w:rsid w:val="00051540"/>
    <w:rsid w:val="00052794"/>
    <w:rsid w:val="000533BA"/>
    <w:rsid w:val="00054C08"/>
    <w:rsid w:val="00056DF0"/>
    <w:rsid w:val="00060641"/>
    <w:rsid w:val="000618E8"/>
    <w:rsid w:val="000648CA"/>
    <w:rsid w:val="00065207"/>
    <w:rsid w:val="00065B90"/>
    <w:rsid w:val="000668A7"/>
    <w:rsid w:val="00067E95"/>
    <w:rsid w:val="00070011"/>
    <w:rsid w:val="00070F26"/>
    <w:rsid w:val="00087D37"/>
    <w:rsid w:val="0009577F"/>
    <w:rsid w:val="000A0444"/>
    <w:rsid w:val="000B4DFF"/>
    <w:rsid w:val="000C2CC0"/>
    <w:rsid w:val="000D355E"/>
    <w:rsid w:val="000E53D4"/>
    <w:rsid w:val="000E6B57"/>
    <w:rsid w:val="000E6DAA"/>
    <w:rsid w:val="000E78E6"/>
    <w:rsid w:val="000F06F7"/>
    <w:rsid w:val="000F2C50"/>
    <w:rsid w:val="000F4184"/>
    <w:rsid w:val="000F5994"/>
    <w:rsid w:val="000F6327"/>
    <w:rsid w:val="001000AE"/>
    <w:rsid w:val="00105FA2"/>
    <w:rsid w:val="0010643B"/>
    <w:rsid w:val="001132A1"/>
    <w:rsid w:val="00117EC4"/>
    <w:rsid w:val="00120241"/>
    <w:rsid w:val="001205AF"/>
    <w:rsid w:val="00120961"/>
    <w:rsid w:val="00125E38"/>
    <w:rsid w:val="00126D79"/>
    <w:rsid w:val="0013237C"/>
    <w:rsid w:val="00134208"/>
    <w:rsid w:val="00137C78"/>
    <w:rsid w:val="0014110E"/>
    <w:rsid w:val="001420F0"/>
    <w:rsid w:val="00151E9C"/>
    <w:rsid w:val="00154390"/>
    <w:rsid w:val="001561A0"/>
    <w:rsid w:val="001600BD"/>
    <w:rsid w:val="00171B97"/>
    <w:rsid w:val="0017225C"/>
    <w:rsid w:val="00172958"/>
    <w:rsid w:val="0017397F"/>
    <w:rsid w:val="00174303"/>
    <w:rsid w:val="001751A1"/>
    <w:rsid w:val="00175CE7"/>
    <w:rsid w:val="00177B77"/>
    <w:rsid w:val="001811D7"/>
    <w:rsid w:val="0018471A"/>
    <w:rsid w:val="001847EA"/>
    <w:rsid w:val="0019111D"/>
    <w:rsid w:val="001913D3"/>
    <w:rsid w:val="00193517"/>
    <w:rsid w:val="00194EF4"/>
    <w:rsid w:val="0019659F"/>
    <w:rsid w:val="001A17D3"/>
    <w:rsid w:val="001A4BC6"/>
    <w:rsid w:val="001A7A90"/>
    <w:rsid w:val="001A7B37"/>
    <w:rsid w:val="001B0B1C"/>
    <w:rsid w:val="001B209A"/>
    <w:rsid w:val="001B3792"/>
    <w:rsid w:val="001B6260"/>
    <w:rsid w:val="001B6702"/>
    <w:rsid w:val="001B7427"/>
    <w:rsid w:val="001C1DDD"/>
    <w:rsid w:val="001C2BE0"/>
    <w:rsid w:val="001C4437"/>
    <w:rsid w:val="001C5B09"/>
    <w:rsid w:val="001C75D1"/>
    <w:rsid w:val="001C7DE2"/>
    <w:rsid w:val="001D4F34"/>
    <w:rsid w:val="001D70F5"/>
    <w:rsid w:val="001E23A4"/>
    <w:rsid w:val="001E4CD7"/>
    <w:rsid w:val="001E549F"/>
    <w:rsid w:val="001E6587"/>
    <w:rsid w:val="001E690F"/>
    <w:rsid w:val="001E6FD7"/>
    <w:rsid w:val="001F5EDB"/>
    <w:rsid w:val="001F67A7"/>
    <w:rsid w:val="001F74EA"/>
    <w:rsid w:val="00205201"/>
    <w:rsid w:val="0022008C"/>
    <w:rsid w:val="00220A55"/>
    <w:rsid w:val="00223464"/>
    <w:rsid w:val="00225047"/>
    <w:rsid w:val="00225B88"/>
    <w:rsid w:val="0022656C"/>
    <w:rsid w:val="00226DD3"/>
    <w:rsid w:val="002330F2"/>
    <w:rsid w:val="002356D1"/>
    <w:rsid w:val="002372AC"/>
    <w:rsid w:val="00237356"/>
    <w:rsid w:val="0023796D"/>
    <w:rsid w:val="00243CA2"/>
    <w:rsid w:val="002445BC"/>
    <w:rsid w:val="002446E6"/>
    <w:rsid w:val="002511B1"/>
    <w:rsid w:val="00252847"/>
    <w:rsid w:val="0025695A"/>
    <w:rsid w:val="00266F35"/>
    <w:rsid w:val="00267120"/>
    <w:rsid w:val="00276777"/>
    <w:rsid w:val="002810D9"/>
    <w:rsid w:val="00281C59"/>
    <w:rsid w:val="00281F1A"/>
    <w:rsid w:val="002848FD"/>
    <w:rsid w:val="002910B8"/>
    <w:rsid w:val="00291390"/>
    <w:rsid w:val="00291BFF"/>
    <w:rsid w:val="002927B4"/>
    <w:rsid w:val="00295ABE"/>
    <w:rsid w:val="002A1067"/>
    <w:rsid w:val="002A19B0"/>
    <w:rsid w:val="002A530F"/>
    <w:rsid w:val="002B57DC"/>
    <w:rsid w:val="002B6CE3"/>
    <w:rsid w:val="002B6FCB"/>
    <w:rsid w:val="002C1F85"/>
    <w:rsid w:val="002C2C4E"/>
    <w:rsid w:val="002C5DC1"/>
    <w:rsid w:val="002C70FA"/>
    <w:rsid w:val="002D33D9"/>
    <w:rsid w:val="002D63E3"/>
    <w:rsid w:val="002E0C37"/>
    <w:rsid w:val="002E169A"/>
    <w:rsid w:val="002E17E3"/>
    <w:rsid w:val="002E29EF"/>
    <w:rsid w:val="002E4EEA"/>
    <w:rsid w:val="002E5D4D"/>
    <w:rsid w:val="002E6438"/>
    <w:rsid w:val="002E7AB8"/>
    <w:rsid w:val="002F166A"/>
    <w:rsid w:val="002F2ACF"/>
    <w:rsid w:val="002F6E09"/>
    <w:rsid w:val="00301C11"/>
    <w:rsid w:val="00302C27"/>
    <w:rsid w:val="0030418B"/>
    <w:rsid w:val="00304918"/>
    <w:rsid w:val="00310780"/>
    <w:rsid w:val="00312500"/>
    <w:rsid w:val="00314024"/>
    <w:rsid w:val="00315EDD"/>
    <w:rsid w:val="00316653"/>
    <w:rsid w:val="003233C4"/>
    <w:rsid w:val="00323787"/>
    <w:rsid w:val="00325C0C"/>
    <w:rsid w:val="0032669D"/>
    <w:rsid w:val="00326DBB"/>
    <w:rsid w:val="003320A8"/>
    <w:rsid w:val="0033474A"/>
    <w:rsid w:val="00335B51"/>
    <w:rsid w:val="0033663C"/>
    <w:rsid w:val="003567F1"/>
    <w:rsid w:val="00356AC4"/>
    <w:rsid w:val="00362FBE"/>
    <w:rsid w:val="00371036"/>
    <w:rsid w:val="00373043"/>
    <w:rsid w:val="00373722"/>
    <w:rsid w:val="00373C22"/>
    <w:rsid w:val="00376643"/>
    <w:rsid w:val="0038031B"/>
    <w:rsid w:val="00381D85"/>
    <w:rsid w:val="00392893"/>
    <w:rsid w:val="00392C6B"/>
    <w:rsid w:val="00392D3A"/>
    <w:rsid w:val="00393B7C"/>
    <w:rsid w:val="003A07CD"/>
    <w:rsid w:val="003A7BC6"/>
    <w:rsid w:val="003B000B"/>
    <w:rsid w:val="003B14CF"/>
    <w:rsid w:val="003B3086"/>
    <w:rsid w:val="003B685F"/>
    <w:rsid w:val="003C00F8"/>
    <w:rsid w:val="003C010B"/>
    <w:rsid w:val="003C1E75"/>
    <w:rsid w:val="003C2D1E"/>
    <w:rsid w:val="003C3D9F"/>
    <w:rsid w:val="003C4092"/>
    <w:rsid w:val="003C6D9B"/>
    <w:rsid w:val="003D455E"/>
    <w:rsid w:val="003D4CE6"/>
    <w:rsid w:val="003E31A1"/>
    <w:rsid w:val="003E416B"/>
    <w:rsid w:val="003F09D5"/>
    <w:rsid w:val="003F1832"/>
    <w:rsid w:val="003F3D5D"/>
    <w:rsid w:val="003F580E"/>
    <w:rsid w:val="003F5FBD"/>
    <w:rsid w:val="003F676D"/>
    <w:rsid w:val="004010E5"/>
    <w:rsid w:val="004032CF"/>
    <w:rsid w:val="0040684C"/>
    <w:rsid w:val="00413F45"/>
    <w:rsid w:val="00414E6C"/>
    <w:rsid w:val="00415ABB"/>
    <w:rsid w:val="00415CC2"/>
    <w:rsid w:val="004248F5"/>
    <w:rsid w:val="00425072"/>
    <w:rsid w:val="0042590A"/>
    <w:rsid w:val="00426898"/>
    <w:rsid w:val="0043063D"/>
    <w:rsid w:val="0043082C"/>
    <w:rsid w:val="00431ECA"/>
    <w:rsid w:val="00434445"/>
    <w:rsid w:val="0043495C"/>
    <w:rsid w:val="004365FB"/>
    <w:rsid w:val="004402FA"/>
    <w:rsid w:val="00441C0D"/>
    <w:rsid w:val="00444C51"/>
    <w:rsid w:val="00450DAF"/>
    <w:rsid w:val="0046125C"/>
    <w:rsid w:val="00462F56"/>
    <w:rsid w:val="004658EB"/>
    <w:rsid w:val="0046783A"/>
    <w:rsid w:val="004743A6"/>
    <w:rsid w:val="00475216"/>
    <w:rsid w:val="004811DC"/>
    <w:rsid w:val="00481AEC"/>
    <w:rsid w:val="0048409D"/>
    <w:rsid w:val="00485071"/>
    <w:rsid w:val="004857B6"/>
    <w:rsid w:val="004879BF"/>
    <w:rsid w:val="00487CEA"/>
    <w:rsid w:val="00491AEF"/>
    <w:rsid w:val="00493152"/>
    <w:rsid w:val="00494953"/>
    <w:rsid w:val="00496F63"/>
    <w:rsid w:val="00496FC4"/>
    <w:rsid w:val="004A184E"/>
    <w:rsid w:val="004A1F11"/>
    <w:rsid w:val="004A6430"/>
    <w:rsid w:val="004A7502"/>
    <w:rsid w:val="004B123C"/>
    <w:rsid w:val="004B1638"/>
    <w:rsid w:val="004B4761"/>
    <w:rsid w:val="004B6993"/>
    <w:rsid w:val="004C2595"/>
    <w:rsid w:val="004C3521"/>
    <w:rsid w:val="004D3A7E"/>
    <w:rsid w:val="004D486B"/>
    <w:rsid w:val="004D5F6B"/>
    <w:rsid w:val="004E00C3"/>
    <w:rsid w:val="004E4590"/>
    <w:rsid w:val="004E48A7"/>
    <w:rsid w:val="004E6DCF"/>
    <w:rsid w:val="004F4734"/>
    <w:rsid w:val="004F6342"/>
    <w:rsid w:val="004F647E"/>
    <w:rsid w:val="004F6F8A"/>
    <w:rsid w:val="005001CD"/>
    <w:rsid w:val="00507F21"/>
    <w:rsid w:val="005112B7"/>
    <w:rsid w:val="00514E0D"/>
    <w:rsid w:val="00517370"/>
    <w:rsid w:val="005177C2"/>
    <w:rsid w:val="00522791"/>
    <w:rsid w:val="00522DFA"/>
    <w:rsid w:val="00525284"/>
    <w:rsid w:val="005333F2"/>
    <w:rsid w:val="005401A0"/>
    <w:rsid w:val="00541E90"/>
    <w:rsid w:val="00542D41"/>
    <w:rsid w:val="00546284"/>
    <w:rsid w:val="005523E6"/>
    <w:rsid w:val="00554D6C"/>
    <w:rsid w:val="00561A47"/>
    <w:rsid w:val="00562277"/>
    <w:rsid w:val="00563248"/>
    <w:rsid w:val="005647FD"/>
    <w:rsid w:val="00567274"/>
    <w:rsid w:val="005703D9"/>
    <w:rsid w:val="0057338E"/>
    <w:rsid w:val="0057673A"/>
    <w:rsid w:val="00580722"/>
    <w:rsid w:val="00583713"/>
    <w:rsid w:val="005838C9"/>
    <w:rsid w:val="005838D1"/>
    <w:rsid w:val="0058711B"/>
    <w:rsid w:val="00590B3C"/>
    <w:rsid w:val="00592A5A"/>
    <w:rsid w:val="00592D92"/>
    <w:rsid w:val="005953DA"/>
    <w:rsid w:val="00597469"/>
    <w:rsid w:val="005A12D0"/>
    <w:rsid w:val="005B0311"/>
    <w:rsid w:val="005D2925"/>
    <w:rsid w:val="005D6852"/>
    <w:rsid w:val="005E65D9"/>
    <w:rsid w:val="005E6B7E"/>
    <w:rsid w:val="005F22C3"/>
    <w:rsid w:val="005F5A60"/>
    <w:rsid w:val="005F7B26"/>
    <w:rsid w:val="00600A55"/>
    <w:rsid w:val="006017E6"/>
    <w:rsid w:val="00624AF9"/>
    <w:rsid w:val="006336E2"/>
    <w:rsid w:val="00633729"/>
    <w:rsid w:val="00633954"/>
    <w:rsid w:val="0063510C"/>
    <w:rsid w:val="00645015"/>
    <w:rsid w:val="00647C93"/>
    <w:rsid w:val="006548CD"/>
    <w:rsid w:val="00654B21"/>
    <w:rsid w:val="00654CD7"/>
    <w:rsid w:val="006555C6"/>
    <w:rsid w:val="00661583"/>
    <w:rsid w:val="00664C3B"/>
    <w:rsid w:val="00673F33"/>
    <w:rsid w:val="00681D4F"/>
    <w:rsid w:val="00685C5D"/>
    <w:rsid w:val="00686EE6"/>
    <w:rsid w:val="0068709C"/>
    <w:rsid w:val="00687553"/>
    <w:rsid w:val="00692153"/>
    <w:rsid w:val="006924DA"/>
    <w:rsid w:val="00692AE9"/>
    <w:rsid w:val="006A017F"/>
    <w:rsid w:val="006A6387"/>
    <w:rsid w:val="006A7747"/>
    <w:rsid w:val="006B2353"/>
    <w:rsid w:val="006B24EF"/>
    <w:rsid w:val="006B349F"/>
    <w:rsid w:val="006B4DAE"/>
    <w:rsid w:val="006B544E"/>
    <w:rsid w:val="006B6622"/>
    <w:rsid w:val="006C14E7"/>
    <w:rsid w:val="006C24BD"/>
    <w:rsid w:val="006D1E92"/>
    <w:rsid w:val="006D35C9"/>
    <w:rsid w:val="006D4AD7"/>
    <w:rsid w:val="006E27FB"/>
    <w:rsid w:val="006E52D3"/>
    <w:rsid w:val="006E6DB4"/>
    <w:rsid w:val="006F3C74"/>
    <w:rsid w:val="006F44A2"/>
    <w:rsid w:val="00700270"/>
    <w:rsid w:val="00705344"/>
    <w:rsid w:val="0071106B"/>
    <w:rsid w:val="00715E40"/>
    <w:rsid w:val="007162C1"/>
    <w:rsid w:val="00717350"/>
    <w:rsid w:val="00721760"/>
    <w:rsid w:val="0072396C"/>
    <w:rsid w:val="00730925"/>
    <w:rsid w:val="00732B77"/>
    <w:rsid w:val="00734026"/>
    <w:rsid w:val="00735A1A"/>
    <w:rsid w:val="00736E48"/>
    <w:rsid w:val="0074076E"/>
    <w:rsid w:val="00740D80"/>
    <w:rsid w:val="00752D70"/>
    <w:rsid w:val="00753907"/>
    <w:rsid w:val="00754621"/>
    <w:rsid w:val="00756830"/>
    <w:rsid w:val="00757669"/>
    <w:rsid w:val="007630AD"/>
    <w:rsid w:val="007658E4"/>
    <w:rsid w:val="00767C73"/>
    <w:rsid w:val="00771D66"/>
    <w:rsid w:val="00773174"/>
    <w:rsid w:val="0077447A"/>
    <w:rsid w:val="007862CD"/>
    <w:rsid w:val="00796BB0"/>
    <w:rsid w:val="007A258A"/>
    <w:rsid w:val="007A34B7"/>
    <w:rsid w:val="007A59B4"/>
    <w:rsid w:val="007A63D8"/>
    <w:rsid w:val="007B3E4B"/>
    <w:rsid w:val="007B5072"/>
    <w:rsid w:val="007B513D"/>
    <w:rsid w:val="007B62EE"/>
    <w:rsid w:val="007B7E6C"/>
    <w:rsid w:val="007C19E9"/>
    <w:rsid w:val="007C2BC0"/>
    <w:rsid w:val="007D24F1"/>
    <w:rsid w:val="007E4284"/>
    <w:rsid w:val="007E43D1"/>
    <w:rsid w:val="007E5555"/>
    <w:rsid w:val="007E665B"/>
    <w:rsid w:val="007F105D"/>
    <w:rsid w:val="007F23F3"/>
    <w:rsid w:val="007F34BD"/>
    <w:rsid w:val="007F3CB0"/>
    <w:rsid w:val="007F3CE3"/>
    <w:rsid w:val="007F46B9"/>
    <w:rsid w:val="008019FA"/>
    <w:rsid w:val="00804AFE"/>
    <w:rsid w:val="0080529A"/>
    <w:rsid w:val="008054AE"/>
    <w:rsid w:val="00813AD0"/>
    <w:rsid w:val="008142A6"/>
    <w:rsid w:val="00815946"/>
    <w:rsid w:val="0082144C"/>
    <w:rsid w:val="00826AAA"/>
    <w:rsid w:val="008274C2"/>
    <w:rsid w:val="00830A68"/>
    <w:rsid w:val="00836CE9"/>
    <w:rsid w:val="008414A3"/>
    <w:rsid w:val="00841DC8"/>
    <w:rsid w:val="00846215"/>
    <w:rsid w:val="00855AD1"/>
    <w:rsid w:val="0086090D"/>
    <w:rsid w:val="00860C5E"/>
    <w:rsid w:val="008613B9"/>
    <w:rsid w:val="008631B7"/>
    <w:rsid w:val="00865882"/>
    <w:rsid w:val="00865D2C"/>
    <w:rsid w:val="00867934"/>
    <w:rsid w:val="00867AB8"/>
    <w:rsid w:val="00871614"/>
    <w:rsid w:val="00880061"/>
    <w:rsid w:val="00882351"/>
    <w:rsid w:val="00883799"/>
    <w:rsid w:val="00885F40"/>
    <w:rsid w:val="00893BE4"/>
    <w:rsid w:val="008942C3"/>
    <w:rsid w:val="008969F5"/>
    <w:rsid w:val="008A4EE9"/>
    <w:rsid w:val="008A768C"/>
    <w:rsid w:val="008C2DF1"/>
    <w:rsid w:val="008D0958"/>
    <w:rsid w:val="008D3CA4"/>
    <w:rsid w:val="008D4ED6"/>
    <w:rsid w:val="008D75C7"/>
    <w:rsid w:val="008E0D9E"/>
    <w:rsid w:val="008E157F"/>
    <w:rsid w:val="008E4E73"/>
    <w:rsid w:val="008E789A"/>
    <w:rsid w:val="008E7B4A"/>
    <w:rsid w:val="008F4FF5"/>
    <w:rsid w:val="008F529B"/>
    <w:rsid w:val="008F5614"/>
    <w:rsid w:val="00902402"/>
    <w:rsid w:val="0090310E"/>
    <w:rsid w:val="00904F19"/>
    <w:rsid w:val="00905651"/>
    <w:rsid w:val="00905CA8"/>
    <w:rsid w:val="00911C5C"/>
    <w:rsid w:val="0091518E"/>
    <w:rsid w:val="009166DB"/>
    <w:rsid w:val="009269AE"/>
    <w:rsid w:val="0092750A"/>
    <w:rsid w:val="00930EB1"/>
    <w:rsid w:val="00932951"/>
    <w:rsid w:val="009340E6"/>
    <w:rsid w:val="00941F52"/>
    <w:rsid w:val="00945583"/>
    <w:rsid w:val="009456F8"/>
    <w:rsid w:val="00947A47"/>
    <w:rsid w:val="00951F36"/>
    <w:rsid w:val="009532C2"/>
    <w:rsid w:val="009541F9"/>
    <w:rsid w:val="00954919"/>
    <w:rsid w:val="00955C85"/>
    <w:rsid w:val="00962CCE"/>
    <w:rsid w:val="009671A8"/>
    <w:rsid w:val="0097150E"/>
    <w:rsid w:val="00971614"/>
    <w:rsid w:val="00980D95"/>
    <w:rsid w:val="00981874"/>
    <w:rsid w:val="009A338B"/>
    <w:rsid w:val="009A4035"/>
    <w:rsid w:val="009A5C36"/>
    <w:rsid w:val="009A6F43"/>
    <w:rsid w:val="009A6F6F"/>
    <w:rsid w:val="009B13B3"/>
    <w:rsid w:val="009B46BE"/>
    <w:rsid w:val="009B7E79"/>
    <w:rsid w:val="009C2518"/>
    <w:rsid w:val="009C2719"/>
    <w:rsid w:val="009C272E"/>
    <w:rsid w:val="009C4495"/>
    <w:rsid w:val="009D17C8"/>
    <w:rsid w:val="009D793E"/>
    <w:rsid w:val="009E7F55"/>
    <w:rsid w:val="009F4CB5"/>
    <w:rsid w:val="009F6B11"/>
    <w:rsid w:val="009F6DEE"/>
    <w:rsid w:val="00A03E78"/>
    <w:rsid w:val="00A05B63"/>
    <w:rsid w:val="00A11AAA"/>
    <w:rsid w:val="00A12558"/>
    <w:rsid w:val="00A12580"/>
    <w:rsid w:val="00A15ADD"/>
    <w:rsid w:val="00A16B1C"/>
    <w:rsid w:val="00A172D4"/>
    <w:rsid w:val="00A17F3C"/>
    <w:rsid w:val="00A22482"/>
    <w:rsid w:val="00A25AF4"/>
    <w:rsid w:val="00A27453"/>
    <w:rsid w:val="00A3295D"/>
    <w:rsid w:val="00A3782E"/>
    <w:rsid w:val="00A41F80"/>
    <w:rsid w:val="00A42333"/>
    <w:rsid w:val="00A451DF"/>
    <w:rsid w:val="00A47DF9"/>
    <w:rsid w:val="00A52E51"/>
    <w:rsid w:val="00A53A32"/>
    <w:rsid w:val="00A5563F"/>
    <w:rsid w:val="00A57A8B"/>
    <w:rsid w:val="00A6138C"/>
    <w:rsid w:val="00A65431"/>
    <w:rsid w:val="00A66E85"/>
    <w:rsid w:val="00A70622"/>
    <w:rsid w:val="00A7231B"/>
    <w:rsid w:val="00A73027"/>
    <w:rsid w:val="00A7434A"/>
    <w:rsid w:val="00A774CF"/>
    <w:rsid w:val="00A77EAF"/>
    <w:rsid w:val="00A80461"/>
    <w:rsid w:val="00A81E97"/>
    <w:rsid w:val="00A82D5C"/>
    <w:rsid w:val="00A83036"/>
    <w:rsid w:val="00A84D67"/>
    <w:rsid w:val="00A85DE9"/>
    <w:rsid w:val="00A908C4"/>
    <w:rsid w:val="00A960C5"/>
    <w:rsid w:val="00AA3A4C"/>
    <w:rsid w:val="00AA71BC"/>
    <w:rsid w:val="00AB4385"/>
    <w:rsid w:val="00AC2BC2"/>
    <w:rsid w:val="00AC7A6F"/>
    <w:rsid w:val="00AD1569"/>
    <w:rsid w:val="00AD3679"/>
    <w:rsid w:val="00AD6624"/>
    <w:rsid w:val="00AD77E5"/>
    <w:rsid w:val="00AD7C63"/>
    <w:rsid w:val="00AE1209"/>
    <w:rsid w:val="00AE22DD"/>
    <w:rsid w:val="00AE533F"/>
    <w:rsid w:val="00AE54C0"/>
    <w:rsid w:val="00AF2AD5"/>
    <w:rsid w:val="00AF38C5"/>
    <w:rsid w:val="00AF794D"/>
    <w:rsid w:val="00AF7DD0"/>
    <w:rsid w:val="00B0635B"/>
    <w:rsid w:val="00B13D65"/>
    <w:rsid w:val="00B15670"/>
    <w:rsid w:val="00B168C6"/>
    <w:rsid w:val="00B26DC8"/>
    <w:rsid w:val="00B30B9C"/>
    <w:rsid w:val="00B30F4D"/>
    <w:rsid w:val="00B3104A"/>
    <w:rsid w:val="00B3291C"/>
    <w:rsid w:val="00B32C84"/>
    <w:rsid w:val="00B34A18"/>
    <w:rsid w:val="00B37F81"/>
    <w:rsid w:val="00B40184"/>
    <w:rsid w:val="00B4307F"/>
    <w:rsid w:val="00B43F05"/>
    <w:rsid w:val="00B44E56"/>
    <w:rsid w:val="00B4705F"/>
    <w:rsid w:val="00B4784A"/>
    <w:rsid w:val="00B50184"/>
    <w:rsid w:val="00B53F6E"/>
    <w:rsid w:val="00B55247"/>
    <w:rsid w:val="00B5594E"/>
    <w:rsid w:val="00B566CF"/>
    <w:rsid w:val="00B604CA"/>
    <w:rsid w:val="00B65D7C"/>
    <w:rsid w:val="00B6690D"/>
    <w:rsid w:val="00B7105F"/>
    <w:rsid w:val="00B73153"/>
    <w:rsid w:val="00B74C9B"/>
    <w:rsid w:val="00B763EA"/>
    <w:rsid w:val="00B77452"/>
    <w:rsid w:val="00B7752A"/>
    <w:rsid w:val="00B77AFB"/>
    <w:rsid w:val="00B77F6D"/>
    <w:rsid w:val="00B77FCE"/>
    <w:rsid w:val="00B830B2"/>
    <w:rsid w:val="00B84B47"/>
    <w:rsid w:val="00B85CFF"/>
    <w:rsid w:val="00B92714"/>
    <w:rsid w:val="00B95115"/>
    <w:rsid w:val="00B965A9"/>
    <w:rsid w:val="00BA0650"/>
    <w:rsid w:val="00BA08B0"/>
    <w:rsid w:val="00BA0F71"/>
    <w:rsid w:val="00BA27C2"/>
    <w:rsid w:val="00BA3B65"/>
    <w:rsid w:val="00BA40B3"/>
    <w:rsid w:val="00BB090D"/>
    <w:rsid w:val="00BB0DC7"/>
    <w:rsid w:val="00BB1EA8"/>
    <w:rsid w:val="00BB5A40"/>
    <w:rsid w:val="00BB684E"/>
    <w:rsid w:val="00BC5927"/>
    <w:rsid w:val="00BD3B5C"/>
    <w:rsid w:val="00BD6470"/>
    <w:rsid w:val="00BD6623"/>
    <w:rsid w:val="00BD6BD1"/>
    <w:rsid w:val="00BE0438"/>
    <w:rsid w:val="00BE04DA"/>
    <w:rsid w:val="00BE39FF"/>
    <w:rsid w:val="00BE547F"/>
    <w:rsid w:val="00BE75C6"/>
    <w:rsid w:val="00BF1BB3"/>
    <w:rsid w:val="00BF3B78"/>
    <w:rsid w:val="00BF4044"/>
    <w:rsid w:val="00BF7E64"/>
    <w:rsid w:val="00C00024"/>
    <w:rsid w:val="00C052E7"/>
    <w:rsid w:val="00C057CF"/>
    <w:rsid w:val="00C065F3"/>
    <w:rsid w:val="00C06D3F"/>
    <w:rsid w:val="00C078EE"/>
    <w:rsid w:val="00C07A68"/>
    <w:rsid w:val="00C11D32"/>
    <w:rsid w:val="00C24026"/>
    <w:rsid w:val="00C262FC"/>
    <w:rsid w:val="00C26E9E"/>
    <w:rsid w:val="00C270E6"/>
    <w:rsid w:val="00C27DBB"/>
    <w:rsid w:val="00C315EF"/>
    <w:rsid w:val="00C3592B"/>
    <w:rsid w:val="00C3761B"/>
    <w:rsid w:val="00C37A93"/>
    <w:rsid w:val="00C41C8E"/>
    <w:rsid w:val="00C41D54"/>
    <w:rsid w:val="00C45BD8"/>
    <w:rsid w:val="00C46D0C"/>
    <w:rsid w:val="00C501DB"/>
    <w:rsid w:val="00C50B53"/>
    <w:rsid w:val="00C5295E"/>
    <w:rsid w:val="00C53196"/>
    <w:rsid w:val="00C67AC8"/>
    <w:rsid w:val="00C701D9"/>
    <w:rsid w:val="00C703BF"/>
    <w:rsid w:val="00C74202"/>
    <w:rsid w:val="00C910C0"/>
    <w:rsid w:val="00CA0902"/>
    <w:rsid w:val="00CA10B6"/>
    <w:rsid w:val="00CA197D"/>
    <w:rsid w:val="00CA35D3"/>
    <w:rsid w:val="00CB4C3F"/>
    <w:rsid w:val="00CC0861"/>
    <w:rsid w:val="00CC11CB"/>
    <w:rsid w:val="00CC21C5"/>
    <w:rsid w:val="00CC2AD1"/>
    <w:rsid w:val="00CC35C0"/>
    <w:rsid w:val="00CC4667"/>
    <w:rsid w:val="00CC7E2E"/>
    <w:rsid w:val="00CD328D"/>
    <w:rsid w:val="00CD5BE2"/>
    <w:rsid w:val="00CD6665"/>
    <w:rsid w:val="00CE3352"/>
    <w:rsid w:val="00CE5FDB"/>
    <w:rsid w:val="00CF0F7D"/>
    <w:rsid w:val="00CF3047"/>
    <w:rsid w:val="00CF495F"/>
    <w:rsid w:val="00D0244A"/>
    <w:rsid w:val="00D02AD7"/>
    <w:rsid w:val="00D06F84"/>
    <w:rsid w:val="00D11A99"/>
    <w:rsid w:val="00D13995"/>
    <w:rsid w:val="00D20D60"/>
    <w:rsid w:val="00D233B2"/>
    <w:rsid w:val="00D24371"/>
    <w:rsid w:val="00D26A59"/>
    <w:rsid w:val="00D3116C"/>
    <w:rsid w:val="00D321C5"/>
    <w:rsid w:val="00D33323"/>
    <w:rsid w:val="00D413FB"/>
    <w:rsid w:val="00D46B67"/>
    <w:rsid w:val="00D47068"/>
    <w:rsid w:val="00D51954"/>
    <w:rsid w:val="00D52B0F"/>
    <w:rsid w:val="00D64D1B"/>
    <w:rsid w:val="00D65A3F"/>
    <w:rsid w:val="00D6751A"/>
    <w:rsid w:val="00D722E0"/>
    <w:rsid w:val="00D7406A"/>
    <w:rsid w:val="00D7502D"/>
    <w:rsid w:val="00D84341"/>
    <w:rsid w:val="00D846EA"/>
    <w:rsid w:val="00D90264"/>
    <w:rsid w:val="00D915B3"/>
    <w:rsid w:val="00D937B6"/>
    <w:rsid w:val="00D946A6"/>
    <w:rsid w:val="00D9543F"/>
    <w:rsid w:val="00D95B86"/>
    <w:rsid w:val="00DB1815"/>
    <w:rsid w:val="00DB250C"/>
    <w:rsid w:val="00DB25D9"/>
    <w:rsid w:val="00DB3353"/>
    <w:rsid w:val="00DB52AC"/>
    <w:rsid w:val="00DB6253"/>
    <w:rsid w:val="00DB7030"/>
    <w:rsid w:val="00DB7687"/>
    <w:rsid w:val="00DC0366"/>
    <w:rsid w:val="00DC7875"/>
    <w:rsid w:val="00DC78E4"/>
    <w:rsid w:val="00DD3BAD"/>
    <w:rsid w:val="00DD5BD8"/>
    <w:rsid w:val="00DD6911"/>
    <w:rsid w:val="00DD6D95"/>
    <w:rsid w:val="00DE4F61"/>
    <w:rsid w:val="00DE5EE5"/>
    <w:rsid w:val="00DF1C7D"/>
    <w:rsid w:val="00DF514C"/>
    <w:rsid w:val="00E004BB"/>
    <w:rsid w:val="00E02275"/>
    <w:rsid w:val="00E05B6A"/>
    <w:rsid w:val="00E12716"/>
    <w:rsid w:val="00E16F81"/>
    <w:rsid w:val="00E21C94"/>
    <w:rsid w:val="00E22DDE"/>
    <w:rsid w:val="00E249D0"/>
    <w:rsid w:val="00E25CAF"/>
    <w:rsid w:val="00E26F9A"/>
    <w:rsid w:val="00E30448"/>
    <w:rsid w:val="00E32DB3"/>
    <w:rsid w:val="00E338A3"/>
    <w:rsid w:val="00E34CFC"/>
    <w:rsid w:val="00E36932"/>
    <w:rsid w:val="00E376AF"/>
    <w:rsid w:val="00E37BAC"/>
    <w:rsid w:val="00E41BB2"/>
    <w:rsid w:val="00E44169"/>
    <w:rsid w:val="00E44F2B"/>
    <w:rsid w:val="00E50DA0"/>
    <w:rsid w:val="00E51138"/>
    <w:rsid w:val="00E52677"/>
    <w:rsid w:val="00E52E00"/>
    <w:rsid w:val="00E56D57"/>
    <w:rsid w:val="00E62161"/>
    <w:rsid w:val="00E634A0"/>
    <w:rsid w:val="00E65357"/>
    <w:rsid w:val="00E65AE9"/>
    <w:rsid w:val="00E7188F"/>
    <w:rsid w:val="00E732C7"/>
    <w:rsid w:val="00E772EF"/>
    <w:rsid w:val="00E77AB2"/>
    <w:rsid w:val="00E77E46"/>
    <w:rsid w:val="00E8613A"/>
    <w:rsid w:val="00E90A55"/>
    <w:rsid w:val="00E91211"/>
    <w:rsid w:val="00E9329E"/>
    <w:rsid w:val="00E94801"/>
    <w:rsid w:val="00EA6EC5"/>
    <w:rsid w:val="00EB1D20"/>
    <w:rsid w:val="00EB3FF4"/>
    <w:rsid w:val="00EB5DD5"/>
    <w:rsid w:val="00EB761C"/>
    <w:rsid w:val="00EC1CD2"/>
    <w:rsid w:val="00EC36D4"/>
    <w:rsid w:val="00EC6532"/>
    <w:rsid w:val="00ED3A88"/>
    <w:rsid w:val="00ED4D16"/>
    <w:rsid w:val="00ED5928"/>
    <w:rsid w:val="00ED6F3E"/>
    <w:rsid w:val="00EE0450"/>
    <w:rsid w:val="00EE2D5A"/>
    <w:rsid w:val="00EE7152"/>
    <w:rsid w:val="00EF0F63"/>
    <w:rsid w:val="00EF140D"/>
    <w:rsid w:val="00EF1746"/>
    <w:rsid w:val="00EF232B"/>
    <w:rsid w:val="00EF3672"/>
    <w:rsid w:val="00EF6E3C"/>
    <w:rsid w:val="00EF7738"/>
    <w:rsid w:val="00EF7CC9"/>
    <w:rsid w:val="00F0380C"/>
    <w:rsid w:val="00F05F0E"/>
    <w:rsid w:val="00F06103"/>
    <w:rsid w:val="00F0698A"/>
    <w:rsid w:val="00F101DA"/>
    <w:rsid w:val="00F1103C"/>
    <w:rsid w:val="00F119DE"/>
    <w:rsid w:val="00F1252C"/>
    <w:rsid w:val="00F15F64"/>
    <w:rsid w:val="00F20000"/>
    <w:rsid w:val="00F25B0C"/>
    <w:rsid w:val="00F30845"/>
    <w:rsid w:val="00F360CF"/>
    <w:rsid w:val="00F372B2"/>
    <w:rsid w:val="00F37A3A"/>
    <w:rsid w:val="00F459D4"/>
    <w:rsid w:val="00F5146F"/>
    <w:rsid w:val="00F66EA0"/>
    <w:rsid w:val="00F74089"/>
    <w:rsid w:val="00F74CC3"/>
    <w:rsid w:val="00F83789"/>
    <w:rsid w:val="00F96B85"/>
    <w:rsid w:val="00FA08D9"/>
    <w:rsid w:val="00FA6B38"/>
    <w:rsid w:val="00FA7CF9"/>
    <w:rsid w:val="00FB3ADB"/>
    <w:rsid w:val="00FC1E82"/>
    <w:rsid w:val="00FC399C"/>
    <w:rsid w:val="00FC5AFF"/>
    <w:rsid w:val="00FC62CC"/>
    <w:rsid w:val="00FC6C7E"/>
    <w:rsid w:val="00FD2779"/>
    <w:rsid w:val="00FD7794"/>
    <w:rsid w:val="00FE1401"/>
    <w:rsid w:val="00FE260C"/>
    <w:rsid w:val="00FE2AE2"/>
    <w:rsid w:val="00FE396B"/>
    <w:rsid w:val="00FE607B"/>
    <w:rsid w:val="00FF17CE"/>
    <w:rsid w:val="00FF1C86"/>
    <w:rsid w:val="00FF2A67"/>
    <w:rsid w:val="00FF2C85"/>
    <w:rsid w:val="018855FA"/>
    <w:rsid w:val="04A46CA4"/>
    <w:rsid w:val="05AD7DDA"/>
    <w:rsid w:val="08761321"/>
    <w:rsid w:val="08DD16AC"/>
    <w:rsid w:val="0A5F5B96"/>
    <w:rsid w:val="0BC2061F"/>
    <w:rsid w:val="0C2061D7"/>
    <w:rsid w:val="0D925D63"/>
    <w:rsid w:val="0DAD1218"/>
    <w:rsid w:val="0F3D21CF"/>
    <w:rsid w:val="1025513D"/>
    <w:rsid w:val="11AC7198"/>
    <w:rsid w:val="135875D7"/>
    <w:rsid w:val="13BD743A"/>
    <w:rsid w:val="13F13588"/>
    <w:rsid w:val="13F35552"/>
    <w:rsid w:val="14B258B4"/>
    <w:rsid w:val="175E2CE2"/>
    <w:rsid w:val="178E6347"/>
    <w:rsid w:val="182F7F11"/>
    <w:rsid w:val="18403C5D"/>
    <w:rsid w:val="188624F1"/>
    <w:rsid w:val="194075D8"/>
    <w:rsid w:val="195922D1"/>
    <w:rsid w:val="1A147FD0"/>
    <w:rsid w:val="1D5717C5"/>
    <w:rsid w:val="1E4744D0"/>
    <w:rsid w:val="1E4A684B"/>
    <w:rsid w:val="1EF02DBA"/>
    <w:rsid w:val="1F8A78EA"/>
    <w:rsid w:val="203D202F"/>
    <w:rsid w:val="20754975"/>
    <w:rsid w:val="20D12777"/>
    <w:rsid w:val="22252D7A"/>
    <w:rsid w:val="22482F0D"/>
    <w:rsid w:val="22CB4CDC"/>
    <w:rsid w:val="23243032"/>
    <w:rsid w:val="23337719"/>
    <w:rsid w:val="243076B7"/>
    <w:rsid w:val="27545EB0"/>
    <w:rsid w:val="27AC7A9A"/>
    <w:rsid w:val="27CE7A10"/>
    <w:rsid w:val="27EF54CE"/>
    <w:rsid w:val="282737C4"/>
    <w:rsid w:val="2D034FA6"/>
    <w:rsid w:val="2D530FF4"/>
    <w:rsid w:val="2DA37249"/>
    <w:rsid w:val="2E9419F4"/>
    <w:rsid w:val="2F347BE9"/>
    <w:rsid w:val="2FE853E7"/>
    <w:rsid w:val="30700171"/>
    <w:rsid w:val="32A001FB"/>
    <w:rsid w:val="344352E2"/>
    <w:rsid w:val="35066A3B"/>
    <w:rsid w:val="35FB40C6"/>
    <w:rsid w:val="36A81ABB"/>
    <w:rsid w:val="36DC1BFF"/>
    <w:rsid w:val="38290FB7"/>
    <w:rsid w:val="3AA924AD"/>
    <w:rsid w:val="3B27770B"/>
    <w:rsid w:val="3C6D55F2"/>
    <w:rsid w:val="3CA47DF6"/>
    <w:rsid w:val="3D8F673A"/>
    <w:rsid w:val="3D961DDD"/>
    <w:rsid w:val="3F107C37"/>
    <w:rsid w:val="3F882875"/>
    <w:rsid w:val="3F9335C1"/>
    <w:rsid w:val="4041301D"/>
    <w:rsid w:val="409E0DFA"/>
    <w:rsid w:val="442D0332"/>
    <w:rsid w:val="44BE250A"/>
    <w:rsid w:val="45C73FC5"/>
    <w:rsid w:val="462C5BD6"/>
    <w:rsid w:val="470438DD"/>
    <w:rsid w:val="47F461F4"/>
    <w:rsid w:val="483B08E3"/>
    <w:rsid w:val="4856518C"/>
    <w:rsid w:val="49AD34D2"/>
    <w:rsid w:val="49BC5361"/>
    <w:rsid w:val="4B093BF6"/>
    <w:rsid w:val="4B2C48CA"/>
    <w:rsid w:val="4E546612"/>
    <w:rsid w:val="4E580E8D"/>
    <w:rsid w:val="50485D02"/>
    <w:rsid w:val="50F653A2"/>
    <w:rsid w:val="52693E64"/>
    <w:rsid w:val="527E5A0B"/>
    <w:rsid w:val="544B268E"/>
    <w:rsid w:val="54A728C5"/>
    <w:rsid w:val="54BA1700"/>
    <w:rsid w:val="564C3E61"/>
    <w:rsid w:val="59A4123A"/>
    <w:rsid w:val="5A48753F"/>
    <w:rsid w:val="5D7B07FF"/>
    <w:rsid w:val="5DC34C1A"/>
    <w:rsid w:val="5DEA2501"/>
    <w:rsid w:val="5E304B53"/>
    <w:rsid w:val="5E965748"/>
    <w:rsid w:val="5EFF17CF"/>
    <w:rsid w:val="60E16353"/>
    <w:rsid w:val="6132417C"/>
    <w:rsid w:val="61A75566"/>
    <w:rsid w:val="622C51EF"/>
    <w:rsid w:val="6425095E"/>
    <w:rsid w:val="644A7E43"/>
    <w:rsid w:val="65075D34"/>
    <w:rsid w:val="65CE0600"/>
    <w:rsid w:val="65EA511C"/>
    <w:rsid w:val="679232CF"/>
    <w:rsid w:val="6B3C600C"/>
    <w:rsid w:val="6C0703C8"/>
    <w:rsid w:val="6FD40F09"/>
    <w:rsid w:val="709C09E2"/>
    <w:rsid w:val="709D4536"/>
    <w:rsid w:val="72606A84"/>
    <w:rsid w:val="72773728"/>
    <w:rsid w:val="74480715"/>
    <w:rsid w:val="74D2285E"/>
    <w:rsid w:val="759A22AD"/>
    <w:rsid w:val="774C75D7"/>
    <w:rsid w:val="78986F77"/>
    <w:rsid w:val="78C32BF8"/>
    <w:rsid w:val="79CB512B"/>
    <w:rsid w:val="7A70182E"/>
    <w:rsid w:val="7A7D1150"/>
    <w:rsid w:val="7B8C2698"/>
    <w:rsid w:val="7B8F3F36"/>
    <w:rsid w:val="7D380D29"/>
    <w:rsid w:val="7EC13514"/>
    <w:rsid w:val="7F625BE9"/>
    <w:rsid w:val="7F943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3">
    <w:name w:val="Body Text"/>
    <w:basedOn w:val="1"/>
    <w:qFormat/>
    <w:uiPriority w:val="0"/>
    <w:pPr>
      <w:jc w:val="center"/>
    </w:pPr>
  </w:style>
  <w:style w:type="paragraph" w:styleId="4">
    <w:name w:val="Balloon Text"/>
    <w:basedOn w:val="1"/>
    <w:link w:val="13"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框图"/>
    <w:basedOn w:val="1"/>
    <w:qFormat/>
    <w:uiPriority w:val="0"/>
    <w:pPr>
      <w:spacing w:line="360" w:lineRule="auto"/>
    </w:pPr>
    <w:rPr>
      <w:szCs w:val="20"/>
    </w:rPr>
  </w:style>
  <w:style w:type="character" w:customStyle="1" w:styleId="11">
    <w:name w:val="页脚 字符"/>
    <w:basedOn w:val="9"/>
    <w:link w:val="5"/>
    <w:qFormat/>
    <w:uiPriority w:val="99"/>
    <w:rPr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4.pn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EA5ACE-816B-4923-B2A9-135B12B08C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lz</Company>
  <Pages>8</Pages>
  <Words>2948</Words>
  <Characters>3565</Characters>
  <Lines>27</Lines>
  <Paragraphs>7</Paragraphs>
  <TotalTime>0</TotalTime>
  <ScaleCrop>false</ScaleCrop>
  <LinksUpToDate>false</LinksUpToDate>
  <CharactersWithSpaces>3657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2023-11-07T08:34:00Z</dcterms:created>
  <dc:creator>www</dc:creator>
  <cp:lastModifiedBy>Administrator</cp:lastModifiedBy>
  <cp:lastPrinted>2023-02-08T03:46:00Z</cp:lastPrinted>
  <dcterms:modified xsi:type="dcterms:W3CDTF">2024-11-04T03:34:08Z</dcterms:modified>
  <dc:title>控制程序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089BB8A687A24C6C83849EF0BA997F10_12</vt:lpwstr>
  </property>
</Properties>
</file>