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1020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2041"/>
        <w:gridCol w:w="228"/>
        <w:gridCol w:w="268"/>
        <w:gridCol w:w="1545"/>
        <w:gridCol w:w="455"/>
        <w:gridCol w:w="1402"/>
        <w:gridCol w:w="184"/>
        <w:gridCol w:w="2041"/>
        <w:gridCol w:w="43"/>
        <w:gridCol w:w="35"/>
        <w:gridCol w:w="830"/>
        <w:gridCol w:w="1134"/>
      </w:tblGrid>
      <w:tr w14:paraId="4FE940A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4" w:hRule="atLeast"/>
          <w:jc w:val="center"/>
        </w:trPr>
        <w:tc>
          <w:tcPr>
            <w:tcW w:w="10206" w:type="dxa"/>
            <w:gridSpan w:val="12"/>
            <w:tcBorders>
              <w:bottom w:val="single" w:color="auto" w:sz="12" w:space="0"/>
            </w:tcBorders>
          </w:tcPr>
          <w:p w14:paraId="70654464">
            <w:pPr>
              <w:tabs>
                <w:tab w:val="left" w:pos="6060"/>
              </w:tabs>
              <w:spacing w:before="156" w:beforeLines="50" w:line="360" w:lineRule="auto"/>
              <w:jc w:val="left"/>
              <w:rPr>
                <w:rFonts w:ascii="宋体" w:hAnsi="宋体" w:cs="宋体"/>
                <w:b/>
                <w:sz w:val="24"/>
              </w:rPr>
            </w:pPr>
            <w:r>
              <w:rPr>
                <w:rFonts w:hint="eastAsia" w:ascii="宋体" w:hAnsi="宋体" w:cs="宋体"/>
                <w:b/>
                <w:sz w:val="24"/>
              </w:rPr>
              <w:t>1.目的</w:t>
            </w:r>
          </w:p>
          <w:p w14:paraId="6E0F3B83">
            <w:pPr>
              <w:spacing w:before="156" w:beforeLines="50" w:line="540" w:lineRule="exact"/>
              <w:rPr>
                <w:rFonts w:ascii="宋体" w:hAnsi="宋体" w:cs="宋体"/>
                <w:sz w:val="24"/>
              </w:rPr>
            </w:pPr>
            <w:r>
              <w:rPr>
                <w:rFonts w:hint="eastAsia" w:ascii="宋体" w:hAnsi="宋体" w:eastAsia="宋体" w:cs="宋体"/>
                <w:b w:val="0"/>
                <w:bCs w:val="0"/>
                <w:sz w:val="24"/>
                <w:szCs w:val="24"/>
              </w:rPr>
              <w:t>当项目有关的土地征用和对土地使用限制时，尽量避免非自愿迁移。当无法避免之时，应在最大程度上减少迁移，合理重新安置受到迁移影响的人，改善或恢复迁移者的生计和生活水平</w:t>
            </w:r>
            <w:r>
              <w:rPr>
                <w:rFonts w:hint="eastAsia" w:ascii="宋体" w:hAnsi="宋体" w:cs="宋体"/>
                <w:sz w:val="24"/>
              </w:rPr>
              <w:t>。</w:t>
            </w:r>
          </w:p>
          <w:p w14:paraId="6C818EE9">
            <w:pPr>
              <w:numPr>
                <w:ilvl w:val="0"/>
                <w:numId w:val="1"/>
              </w:numPr>
              <w:spacing w:before="156" w:beforeLines="50" w:line="540" w:lineRule="exact"/>
              <w:ind w:left="920" w:hanging="920" w:hangingChars="382"/>
              <w:rPr>
                <w:rFonts w:ascii="宋体" w:hAnsi="宋体" w:cs="宋体"/>
                <w:b/>
                <w:sz w:val="24"/>
              </w:rPr>
            </w:pPr>
            <w:r>
              <w:rPr>
                <w:rFonts w:hint="eastAsia" w:ascii="宋体" w:hAnsi="宋体" w:cs="宋体"/>
                <w:b/>
                <w:sz w:val="24"/>
              </w:rPr>
              <w:t>适用范围</w:t>
            </w:r>
          </w:p>
          <w:p w14:paraId="6D3CAF89">
            <w:pPr>
              <w:spacing w:before="156" w:beforeLines="50" w:line="540" w:lineRule="exact"/>
              <w:ind w:left="-802" w:leftChars="-382"/>
              <w:rPr>
                <w:rFonts w:ascii="宋体" w:hAnsi="宋体" w:cs="宋体"/>
                <w:sz w:val="24"/>
              </w:rPr>
            </w:pPr>
            <w:r>
              <w:rPr>
                <w:rFonts w:hint="eastAsia"/>
                <w:sz w:val="24"/>
              </w:rPr>
              <w:t>适用于</w:t>
            </w:r>
            <w:r>
              <w:rPr>
                <w:rFonts w:hint="eastAsia" w:ascii="宋体" w:hAnsi="宋体" w:eastAsia="宋体" w:cs="宋体"/>
                <w:b w:val="0"/>
                <w:bCs w:val="0"/>
                <w:sz w:val="24"/>
                <w:szCs w:val="24"/>
              </w:rPr>
              <w:t>适用于项目有关的土地征用和对土地使用限制时受到非自愿迁移影响的人</w:t>
            </w:r>
            <w:r>
              <w:rPr>
                <w:rFonts w:hint="eastAsia" w:ascii="宋体" w:hAnsi="宋体" w:cs="宋体"/>
                <w:sz w:val="24"/>
              </w:rPr>
              <w:t>。</w:t>
            </w:r>
          </w:p>
          <w:p w14:paraId="17346A0B">
            <w:pPr>
              <w:numPr>
                <w:ilvl w:val="0"/>
                <w:numId w:val="1"/>
              </w:numPr>
              <w:spacing w:before="156" w:beforeLines="50" w:line="540" w:lineRule="exact"/>
              <w:ind w:left="920" w:hanging="920" w:hangingChars="382"/>
              <w:rPr>
                <w:rFonts w:ascii="宋体" w:hAnsi="宋体" w:cs="宋体"/>
                <w:b/>
                <w:sz w:val="24"/>
              </w:rPr>
            </w:pPr>
            <w:r>
              <w:rPr>
                <w:rFonts w:hint="eastAsia" w:ascii="宋体" w:hAnsi="宋体" w:cs="宋体"/>
                <w:b/>
                <w:sz w:val="24"/>
              </w:rPr>
              <w:t>术语定义</w:t>
            </w:r>
          </w:p>
          <w:p w14:paraId="579CF617">
            <w:pPr>
              <w:keepNext w:val="0"/>
              <w:keepLines w:val="0"/>
              <w:pageBreakBefore w:val="0"/>
              <w:kinsoku/>
              <w:wordWrap/>
              <w:topLinePunct w:val="0"/>
              <w:bidi w:val="0"/>
              <w:snapToGrid/>
              <w:spacing w:line="500" w:lineRule="exact"/>
              <w:ind w:right="105" w:rightChars="50"/>
              <w:rPr>
                <w:rFonts w:hint="eastAsia" w:ascii="宋体" w:hAnsi="宋体" w:eastAsia="宋体" w:cs="宋体"/>
                <w:b w:val="0"/>
                <w:bCs w:val="0"/>
                <w:sz w:val="24"/>
                <w:szCs w:val="24"/>
              </w:rPr>
            </w:pPr>
            <w:r>
              <w:rPr>
                <w:rFonts w:hint="eastAsia" w:ascii="宋体" w:hAnsi="宋体" w:cs="宋体"/>
                <w:b w:val="0"/>
                <w:bCs w:val="0"/>
                <w:sz w:val="24"/>
                <w:szCs w:val="24"/>
                <w:lang w:val="en-US" w:eastAsia="zh-CN"/>
              </w:rPr>
              <w:t>3.1</w:t>
            </w:r>
            <w:r>
              <w:rPr>
                <w:rFonts w:hint="eastAsia" w:ascii="宋体" w:hAnsi="宋体" w:eastAsia="宋体" w:cs="宋体"/>
                <w:b w:val="0"/>
                <w:bCs w:val="0"/>
                <w:sz w:val="24"/>
                <w:szCs w:val="24"/>
              </w:rPr>
              <w:t>重新安置计划：一项拟订的计划，不论受影响的人数，并包括对损失的土地和其他资产的全额重置费用的补偿。该计划旨在减轻迁移产生的负面影响,制定重新安置预算和时间表,以及确定各类受影响人员的权利,特别注意穷人和弱势群体的需要。</w:t>
            </w:r>
          </w:p>
          <w:p w14:paraId="11EFB299">
            <w:pPr>
              <w:keepNext w:val="0"/>
              <w:keepLines w:val="0"/>
              <w:pageBreakBefore w:val="0"/>
              <w:kinsoku/>
              <w:wordWrap/>
              <w:topLinePunct w:val="0"/>
              <w:autoSpaceDE/>
              <w:autoSpaceDN/>
              <w:bidi w:val="0"/>
              <w:snapToGrid/>
              <w:spacing w:before="157" w:beforeLines="50" w:line="500" w:lineRule="exact"/>
              <w:ind w:left="0" w:leftChars="0" w:firstLine="0" w:firstLineChars="0"/>
              <w:jc w:val="left"/>
              <w:rPr>
                <w:rFonts w:hint="eastAsia" w:ascii="宋体" w:hAnsi="宋体" w:eastAsia="宋体" w:cs="宋体"/>
                <w:b w:val="0"/>
                <w:bCs w:val="0"/>
                <w:sz w:val="24"/>
                <w:szCs w:val="24"/>
              </w:rPr>
            </w:pPr>
            <w:r>
              <w:rPr>
                <w:rFonts w:hint="eastAsia" w:ascii="宋体" w:hAnsi="宋体" w:cs="宋体"/>
                <w:b w:val="0"/>
                <w:bCs w:val="0"/>
                <w:sz w:val="24"/>
                <w:szCs w:val="24"/>
                <w:lang w:val="en-US" w:eastAsia="zh-CN"/>
              </w:rPr>
              <w:t>3.2</w:t>
            </w:r>
            <w:r>
              <w:rPr>
                <w:rFonts w:hint="eastAsia" w:ascii="宋体" w:hAnsi="宋体" w:eastAsia="宋体" w:cs="宋体"/>
                <w:b w:val="0"/>
                <w:bCs w:val="0"/>
                <w:sz w:val="24"/>
                <w:szCs w:val="24"/>
              </w:rPr>
              <w:t>管理部通过土地管理局、规划局、网站、电子媒体等摸查公司项目所在区域是否存在非自愿迁移并完成调查记录存档。</w:t>
            </w:r>
          </w:p>
          <w:p w14:paraId="06356DBE">
            <w:pPr>
              <w:keepNext w:val="0"/>
              <w:keepLines w:val="0"/>
              <w:pageBreakBefore w:val="0"/>
              <w:kinsoku/>
              <w:wordWrap/>
              <w:topLinePunct w:val="0"/>
              <w:autoSpaceDE/>
              <w:autoSpaceDN/>
              <w:bidi w:val="0"/>
              <w:snapToGrid/>
              <w:spacing w:before="157" w:beforeLines="50" w:line="500" w:lineRule="exact"/>
              <w:ind w:left="0" w:leftChars="0" w:firstLine="0" w:firstLineChars="0"/>
              <w:jc w:val="left"/>
              <w:rPr>
                <w:rFonts w:hint="eastAsia" w:ascii="宋体" w:hAnsi="宋体" w:eastAsia="宋体" w:cs="宋体"/>
                <w:b w:val="0"/>
                <w:bCs w:val="0"/>
                <w:sz w:val="24"/>
                <w:szCs w:val="24"/>
              </w:rPr>
            </w:pPr>
            <w:r>
              <w:rPr>
                <w:rFonts w:hint="eastAsia" w:ascii="宋体" w:hAnsi="宋体" w:cs="宋体"/>
                <w:b w:val="0"/>
                <w:bCs w:val="0"/>
                <w:sz w:val="24"/>
                <w:szCs w:val="24"/>
                <w:lang w:val="en-US" w:eastAsia="zh-CN"/>
              </w:rPr>
              <w:t>3.3</w:t>
            </w:r>
            <w:r>
              <w:rPr>
                <w:rFonts w:hint="eastAsia" w:ascii="宋体" w:hAnsi="宋体" w:eastAsia="宋体" w:cs="宋体"/>
                <w:b w:val="0"/>
                <w:bCs w:val="0"/>
                <w:sz w:val="24"/>
                <w:szCs w:val="24"/>
              </w:rPr>
              <w:t>管理部收集重新安置的相关法律法规。</w:t>
            </w:r>
          </w:p>
          <w:p w14:paraId="7AF8CE1B">
            <w:pPr>
              <w:numPr>
                <w:ilvl w:val="0"/>
                <w:numId w:val="1"/>
              </w:numPr>
              <w:spacing w:before="156" w:beforeLines="50" w:line="540" w:lineRule="exact"/>
              <w:ind w:left="920" w:hanging="920" w:hangingChars="382"/>
              <w:rPr>
                <w:rFonts w:hint="eastAsia" w:ascii="宋体" w:hAnsi="宋体" w:cs="宋体"/>
                <w:b/>
                <w:sz w:val="24"/>
              </w:rPr>
            </w:pPr>
            <w:r>
              <w:rPr>
                <w:rFonts w:hint="eastAsia" w:ascii="宋体" w:hAnsi="宋体" w:cs="宋体"/>
                <w:b/>
                <w:sz w:val="24"/>
              </w:rPr>
              <w:t xml:space="preserve"> 职责权限</w:t>
            </w:r>
          </w:p>
          <w:p w14:paraId="61663632">
            <w:pPr>
              <w:keepNext w:val="0"/>
              <w:keepLines w:val="0"/>
              <w:pageBreakBefore w:val="0"/>
              <w:widowControl/>
              <w:kinsoku/>
              <w:wordWrap/>
              <w:overflowPunct w:val="0"/>
              <w:topLinePunct w:val="0"/>
              <w:autoSpaceDE/>
              <w:autoSpaceDN/>
              <w:bidi w:val="0"/>
              <w:adjustRightInd w:val="0"/>
              <w:snapToGrid/>
              <w:spacing w:before="157" w:beforeLines="50" w:line="500" w:lineRule="exact"/>
              <w:ind w:right="105" w:rightChars="50"/>
              <w:jc w:val="left"/>
              <w:textAlignment w:val="baseline"/>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cs="宋体"/>
                <w:b w:val="0"/>
                <w:bCs w:val="0"/>
                <w:color w:val="000000" w:themeColor="text1"/>
                <w:sz w:val="24"/>
                <w:szCs w:val="24"/>
                <w:lang w:val="en-US" w:eastAsia="zh-CN"/>
                <w14:textFill>
                  <w14:solidFill>
                    <w14:schemeClr w14:val="tx1"/>
                  </w14:solidFill>
                </w14:textFill>
              </w:rPr>
              <w:t>4.1</w:t>
            </w:r>
            <w:r>
              <w:rPr>
                <w:rFonts w:hint="eastAsia" w:ascii="宋体" w:hAnsi="宋体" w:eastAsia="宋体" w:cs="宋体"/>
                <w:b w:val="0"/>
                <w:bCs w:val="0"/>
                <w:color w:val="000000" w:themeColor="text1"/>
                <w:sz w:val="24"/>
                <w:szCs w:val="24"/>
                <w14:textFill>
                  <w14:solidFill>
                    <w14:schemeClr w14:val="tx1"/>
                  </w14:solidFill>
                </w14:textFill>
              </w:rPr>
              <w:t>管理部负责识别过程和实施情况等各种记录的保存。</w:t>
            </w:r>
          </w:p>
          <w:p w14:paraId="195452C4">
            <w:pPr>
              <w:numPr>
                <w:ilvl w:val="0"/>
                <w:numId w:val="1"/>
              </w:numPr>
              <w:spacing w:before="156" w:beforeLines="50" w:line="540" w:lineRule="exact"/>
              <w:ind w:left="920" w:hanging="920" w:hangingChars="382"/>
              <w:rPr>
                <w:rFonts w:ascii="宋体" w:hAnsi="宋体" w:cs="宋体"/>
                <w:b/>
                <w:sz w:val="24"/>
              </w:rPr>
            </w:pPr>
            <w:r>
              <w:rPr>
                <w:rFonts w:hint="eastAsia" w:ascii="宋体" w:hAnsi="宋体" w:cs="宋体"/>
                <w:b/>
                <w:sz w:val="24"/>
              </w:rPr>
              <w:t>管理内容</w:t>
            </w:r>
          </w:p>
          <w:p w14:paraId="32F15401">
            <w:pPr>
              <w:keepNext w:val="0"/>
              <w:keepLines w:val="0"/>
              <w:pageBreakBefore w:val="0"/>
              <w:kinsoku/>
              <w:wordWrap/>
              <w:topLinePunct w:val="0"/>
              <w:autoSpaceDE/>
              <w:autoSpaceDN/>
              <w:bidi w:val="0"/>
              <w:snapToGrid/>
              <w:spacing w:before="157" w:beforeLines="50" w:line="500" w:lineRule="exact"/>
              <w:ind w:left="0" w:leftChars="0" w:firstLine="0" w:firstLineChars="0"/>
              <w:jc w:val="left"/>
              <w:rPr>
                <w:rFonts w:hint="eastAsia" w:ascii="宋体" w:hAnsi="宋体" w:eastAsia="宋体" w:cs="宋体"/>
                <w:b w:val="0"/>
                <w:bCs w:val="0"/>
                <w:sz w:val="24"/>
                <w:szCs w:val="24"/>
              </w:rPr>
            </w:pPr>
            <w:r>
              <w:rPr>
                <w:rFonts w:hint="eastAsia" w:ascii="宋体" w:hAnsi="宋体" w:cs="宋体"/>
                <w:b w:val="0"/>
                <w:bCs w:val="0"/>
                <w:sz w:val="24"/>
                <w:szCs w:val="24"/>
                <w:lang w:val="en-US" w:eastAsia="zh-CN"/>
              </w:rPr>
              <w:t>5.1</w:t>
            </w:r>
            <w:r>
              <w:rPr>
                <w:rFonts w:hint="eastAsia" w:ascii="宋体" w:hAnsi="宋体" w:eastAsia="宋体" w:cs="宋体"/>
                <w:b w:val="0"/>
                <w:bCs w:val="0"/>
                <w:sz w:val="24"/>
                <w:szCs w:val="24"/>
              </w:rPr>
              <w:t>项目设计的时候应考虑可行的替代项目设计方案来避免或尽可能减少实体迁移或经济迁移，使环境、社会和经济成本与收益达到平衡，关注对贫困和脆弱群体的影响。</w:t>
            </w:r>
          </w:p>
          <w:p w14:paraId="598A464E">
            <w:pPr>
              <w:keepNext w:val="0"/>
              <w:keepLines w:val="0"/>
              <w:pageBreakBefore w:val="0"/>
              <w:kinsoku/>
              <w:wordWrap/>
              <w:topLinePunct w:val="0"/>
              <w:autoSpaceDE/>
              <w:autoSpaceDN/>
              <w:bidi w:val="0"/>
              <w:snapToGrid/>
              <w:spacing w:before="157" w:beforeLines="50" w:line="500" w:lineRule="exact"/>
              <w:ind w:left="0" w:leftChars="0" w:firstLine="0" w:firstLineChars="0"/>
              <w:jc w:val="left"/>
              <w:rPr>
                <w:rFonts w:hint="eastAsia" w:ascii="宋体" w:hAnsi="宋体" w:eastAsia="宋体" w:cs="宋体"/>
                <w:b w:val="0"/>
                <w:bCs w:val="0"/>
                <w:sz w:val="24"/>
                <w:szCs w:val="24"/>
              </w:rPr>
            </w:pPr>
            <w:r>
              <w:rPr>
                <w:rFonts w:hint="eastAsia" w:ascii="宋体" w:hAnsi="宋体" w:cs="宋体"/>
                <w:b w:val="0"/>
                <w:bCs w:val="0"/>
                <w:sz w:val="24"/>
                <w:szCs w:val="24"/>
                <w:lang w:val="en-US" w:eastAsia="zh-CN"/>
              </w:rPr>
              <w:t>5.2</w:t>
            </w:r>
            <w:r>
              <w:rPr>
                <w:rFonts w:hint="eastAsia" w:ascii="宋体" w:hAnsi="宋体" w:eastAsia="宋体" w:cs="宋体"/>
                <w:b w:val="0"/>
                <w:bCs w:val="0"/>
                <w:sz w:val="24"/>
                <w:szCs w:val="24"/>
              </w:rPr>
              <w:t>如迁移不可避免，按全部重置成本补偿迁移区和个人的资产损失，并提供援助来帮助他们改善生活水平或恢复</w:t>
            </w:r>
            <w:r>
              <w:rPr>
                <w:rFonts w:hint="eastAsia" w:ascii="宋体" w:hAnsi="宋体" w:eastAsia="宋体" w:cs="宋体"/>
                <w:b w:val="0"/>
                <w:bCs w:val="0"/>
                <w:sz w:val="24"/>
                <w:szCs w:val="24"/>
                <w:lang w:val="en-US" w:eastAsia="zh-CN"/>
              </w:rPr>
              <w:t>至迁移前的</w:t>
            </w:r>
            <w:r>
              <w:rPr>
                <w:rFonts w:hint="eastAsia" w:ascii="宋体" w:hAnsi="宋体" w:eastAsia="宋体" w:cs="宋体"/>
                <w:b w:val="0"/>
                <w:bCs w:val="0"/>
                <w:sz w:val="24"/>
                <w:szCs w:val="24"/>
              </w:rPr>
              <w:t>生计</w:t>
            </w:r>
            <w:r>
              <w:rPr>
                <w:rFonts w:hint="eastAsia" w:ascii="宋体" w:hAnsi="宋体" w:eastAsia="宋体" w:cs="宋体"/>
                <w:b w:val="0"/>
                <w:bCs w:val="0"/>
                <w:sz w:val="24"/>
                <w:szCs w:val="24"/>
                <w:lang w:val="en-US" w:eastAsia="zh-CN"/>
              </w:rPr>
              <w:t>水平</w:t>
            </w:r>
            <w:r>
              <w:rPr>
                <w:rFonts w:hint="eastAsia" w:ascii="宋体" w:hAnsi="宋体" w:eastAsia="宋体" w:cs="宋体"/>
                <w:b w:val="0"/>
                <w:bCs w:val="0"/>
                <w:sz w:val="24"/>
                <w:szCs w:val="24"/>
              </w:rPr>
              <w:t>。</w:t>
            </w:r>
          </w:p>
          <w:p w14:paraId="22153189">
            <w:pPr>
              <w:keepNext w:val="0"/>
              <w:keepLines w:val="0"/>
              <w:pageBreakBefore w:val="0"/>
              <w:kinsoku/>
              <w:wordWrap/>
              <w:topLinePunct w:val="0"/>
              <w:bidi w:val="0"/>
              <w:snapToGrid/>
              <w:spacing w:line="500" w:lineRule="exact"/>
              <w:ind w:left="0" w:leftChars="0" w:firstLine="0" w:firstLineChars="0"/>
              <w:jc w:val="left"/>
              <w:rPr>
                <w:rFonts w:hint="eastAsia" w:ascii="宋体" w:hAnsi="宋体" w:eastAsia="宋体" w:cs="宋体"/>
                <w:b w:val="0"/>
                <w:bCs w:val="0"/>
                <w:sz w:val="24"/>
                <w:szCs w:val="24"/>
              </w:rPr>
            </w:pPr>
            <w:r>
              <w:rPr>
                <w:rFonts w:hint="eastAsia" w:ascii="宋体" w:hAnsi="宋体" w:cs="宋体"/>
                <w:b w:val="0"/>
                <w:bCs w:val="0"/>
                <w:sz w:val="24"/>
                <w:szCs w:val="24"/>
                <w:lang w:val="en-US" w:eastAsia="zh-CN"/>
              </w:rPr>
              <w:t>5.2.1</w:t>
            </w:r>
            <w:r>
              <w:rPr>
                <w:rFonts w:hint="eastAsia" w:ascii="宋体" w:hAnsi="宋体" w:eastAsia="宋体" w:cs="宋体"/>
                <w:b w:val="0"/>
                <w:bCs w:val="0"/>
                <w:sz w:val="24"/>
                <w:szCs w:val="24"/>
              </w:rPr>
              <w:t>重置成本：包括对土地和其他资产的损失。</w:t>
            </w:r>
          </w:p>
          <w:p w14:paraId="666C6211">
            <w:pPr>
              <w:keepNext w:val="0"/>
              <w:keepLines w:val="0"/>
              <w:pageBreakBefore w:val="0"/>
              <w:kinsoku/>
              <w:wordWrap/>
              <w:topLinePunct w:val="0"/>
              <w:bidi w:val="0"/>
              <w:snapToGrid/>
              <w:spacing w:line="500" w:lineRule="exact"/>
              <w:ind w:left="0" w:leftChars="0" w:firstLine="0" w:firstLineChars="0"/>
              <w:jc w:val="left"/>
              <w:rPr>
                <w:rFonts w:hint="eastAsia" w:ascii="宋体" w:hAnsi="宋体" w:eastAsia="宋体" w:cs="宋体"/>
                <w:b w:val="0"/>
                <w:bCs w:val="0"/>
                <w:sz w:val="24"/>
                <w:szCs w:val="24"/>
              </w:rPr>
            </w:pPr>
            <w:r>
              <w:rPr>
                <w:rFonts w:hint="eastAsia" w:ascii="宋体" w:hAnsi="宋体" w:cs="宋体"/>
                <w:b w:val="0"/>
                <w:bCs w:val="0"/>
                <w:sz w:val="24"/>
                <w:szCs w:val="24"/>
                <w:lang w:val="en-US" w:eastAsia="zh-CN"/>
              </w:rPr>
              <w:t>5.2.2</w:t>
            </w:r>
            <w:r>
              <w:rPr>
                <w:rFonts w:hint="eastAsia" w:ascii="宋体" w:hAnsi="宋体" w:eastAsia="宋体" w:cs="宋体"/>
                <w:b w:val="0"/>
                <w:bCs w:val="0"/>
                <w:sz w:val="24"/>
                <w:szCs w:val="24"/>
              </w:rPr>
              <w:t>如果土地征用或土地使用限制影响了商业建筑物，应补偿受影响商业所有者在其他地方重建商业活动的成本、在过渡期间损失的净收入以及转移和重新安装厂房或其他设备的成本。</w:t>
            </w:r>
          </w:p>
          <w:p w14:paraId="307954AB">
            <w:pPr>
              <w:keepNext w:val="0"/>
              <w:keepLines w:val="0"/>
              <w:pageBreakBefore w:val="0"/>
              <w:kinsoku/>
              <w:wordWrap/>
              <w:topLinePunct w:val="0"/>
              <w:bidi w:val="0"/>
              <w:snapToGrid/>
              <w:spacing w:line="500" w:lineRule="exact"/>
              <w:ind w:left="0" w:leftChars="0" w:firstLine="0" w:firstLineChars="0"/>
              <w:jc w:val="left"/>
              <w:rPr>
                <w:rFonts w:hint="eastAsia" w:ascii="宋体" w:hAnsi="宋体" w:eastAsia="宋体" w:cs="宋体"/>
                <w:b w:val="0"/>
                <w:bCs w:val="0"/>
                <w:sz w:val="24"/>
                <w:szCs w:val="24"/>
              </w:rPr>
            </w:pPr>
            <w:r>
              <w:rPr>
                <w:rFonts w:hint="eastAsia" w:ascii="宋体" w:hAnsi="宋体" w:cs="宋体"/>
                <w:b w:val="0"/>
                <w:bCs w:val="0"/>
                <w:sz w:val="24"/>
                <w:szCs w:val="24"/>
                <w:lang w:val="en-US" w:eastAsia="zh-CN"/>
              </w:rPr>
              <w:t>5.2.3</w:t>
            </w:r>
            <w:r>
              <w:rPr>
                <w:rFonts w:hint="eastAsia" w:ascii="宋体" w:hAnsi="宋体" w:eastAsia="宋体" w:cs="宋体"/>
                <w:b w:val="0"/>
                <w:bCs w:val="0"/>
                <w:sz w:val="24"/>
                <w:szCs w:val="24"/>
              </w:rPr>
              <w:t>如果受影响者对土地拥有根据国家法律认可的或可以认可的合法权利提供等值或更高价值的替换财产（如农业或商业用地），或者在适当情况下，按全部重置成本提供现金补偿。对土地不拥有可认可的合法权利主张的经济迁移者，应按照全部重置成本补偿他们除土地以外的资产损失。</w:t>
            </w:r>
          </w:p>
          <w:p w14:paraId="5B034CC3">
            <w:pPr>
              <w:numPr>
                <w:ilvl w:val="0"/>
                <w:numId w:val="1"/>
              </w:numPr>
              <w:spacing w:before="156" w:beforeLines="50" w:line="540" w:lineRule="exact"/>
              <w:ind w:left="920" w:hanging="920" w:hangingChars="382"/>
              <w:rPr>
                <w:rFonts w:hint="eastAsia" w:ascii="宋体" w:hAnsi="宋体" w:cs="宋体"/>
                <w:b/>
                <w:sz w:val="24"/>
              </w:rPr>
            </w:pPr>
            <w:r>
              <w:rPr>
                <w:rFonts w:hint="eastAsia" w:ascii="宋体" w:hAnsi="宋体" w:cs="宋体"/>
                <w:b/>
                <w:sz w:val="24"/>
              </w:rPr>
              <w:t>社区沟通</w:t>
            </w:r>
          </w:p>
          <w:p w14:paraId="41A043BB">
            <w:pPr>
              <w:keepNext w:val="0"/>
              <w:keepLines w:val="0"/>
              <w:pageBreakBefore w:val="0"/>
              <w:kinsoku/>
              <w:wordWrap/>
              <w:topLinePunct w:val="0"/>
              <w:bidi w:val="0"/>
              <w:snapToGrid/>
              <w:spacing w:line="500" w:lineRule="exact"/>
              <w:ind w:left="0" w:leftChars="0" w:firstLine="0" w:firstLineChars="0"/>
              <w:jc w:val="left"/>
              <w:rPr>
                <w:rFonts w:hint="eastAsia" w:ascii="宋体" w:hAnsi="宋体" w:eastAsia="宋体" w:cs="宋体"/>
                <w:b w:val="0"/>
                <w:bCs w:val="0"/>
                <w:sz w:val="24"/>
                <w:szCs w:val="24"/>
              </w:rPr>
            </w:pPr>
            <w:r>
              <w:rPr>
                <w:rFonts w:hint="eastAsia" w:ascii="宋体" w:hAnsi="宋体" w:cs="宋体"/>
                <w:b w:val="0"/>
                <w:bCs w:val="0"/>
                <w:sz w:val="24"/>
                <w:szCs w:val="24"/>
                <w:lang w:val="en-US" w:eastAsia="zh-CN"/>
              </w:rPr>
              <w:t>6.1</w:t>
            </w:r>
            <w:r>
              <w:rPr>
                <w:rFonts w:hint="eastAsia" w:ascii="宋体" w:hAnsi="宋体" w:eastAsia="宋体" w:cs="宋体"/>
                <w:b w:val="0"/>
                <w:bCs w:val="0"/>
                <w:sz w:val="24"/>
                <w:szCs w:val="24"/>
              </w:rPr>
              <w:t>了解当地社区在土地和生计方面的法律和习惯权利和利益，评估当前项目对于社区的生计影响。</w:t>
            </w:r>
          </w:p>
          <w:p w14:paraId="52001CBC">
            <w:pPr>
              <w:keepNext w:val="0"/>
              <w:keepLines w:val="0"/>
              <w:pageBreakBefore w:val="0"/>
              <w:kinsoku/>
              <w:wordWrap/>
              <w:topLinePunct w:val="0"/>
              <w:bidi w:val="0"/>
              <w:snapToGrid/>
              <w:spacing w:line="500" w:lineRule="exact"/>
              <w:ind w:left="0" w:leftChars="0" w:firstLine="0" w:firstLineChars="0"/>
              <w:jc w:val="left"/>
              <w:rPr>
                <w:rFonts w:hint="eastAsia" w:ascii="宋体" w:hAnsi="宋体" w:eastAsia="宋体" w:cs="宋体"/>
                <w:b w:val="0"/>
                <w:bCs w:val="0"/>
                <w:sz w:val="24"/>
                <w:szCs w:val="24"/>
              </w:rPr>
            </w:pPr>
            <w:r>
              <w:rPr>
                <w:rFonts w:hint="eastAsia" w:ascii="宋体" w:hAnsi="宋体" w:cs="宋体"/>
                <w:b w:val="0"/>
                <w:bCs w:val="0"/>
                <w:sz w:val="24"/>
                <w:szCs w:val="24"/>
                <w:lang w:val="en-US" w:eastAsia="zh-CN"/>
              </w:rPr>
              <w:t>6.2</w:t>
            </w:r>
            <w:r>
              <w:rPr>
                <w:rFonts w:hint="eastAsia" w:ascii="宋体" w:hAnsi="宋体" w:eastAsia="宋体" w:cs="宋体"/>
                <w:b w:val="0"/>
                <w:bCs w:val="0"/>
                <w:sz w:val="24"/>
                <w:szCs w:val="24"/>
              </w:rPr>
              <w:t>沟通内容包括但不限于：</w:t>
            </w:r>
          </w:p>
          <w:p w14:paraId="4EF4052E">
            <w:pPr>
              <w:keepNext w:val="0"/>
              <w:keepLines w:val="0"/>
              <w:pageBreakBefore w:val="0"/>
              <w:kinsoku/>
              <w:wordWrap/>
              <w:topLinePunct w:val="0"/>
              <w:bidi w:val="0"/>
              <w:snapToGrid/>
              <w:spacing w:line="500" w:lineRule="exact"/>
              <w:ind w:left="0" w:leftChars="0" w:firstLine="0" w:firstLineChars="0"/>
              <w:jc w:val="left"/>
              <w:rPr>
                <w:rFonts w:hint="eastAsia" w:ascii="宋体" w:hAnsi="宋体" w:eastAsia="宋体" w:cs="宋体"/>
                <w:b w:val="0"/>
                <w:bCs w:val="0"/>
                <w:sz w:val="24"/>
                <w:szCs w:val="24"/>
              </w:rPr>
            </w:pPr>
            <w:r>
              <w:rPr>
                <w:rFonts w:hint="eastAsia" w:ascii="宋体" w:hAnsi="宋体" w:cs="宋体"/>
                <w:b w:val="0"/>
                <w:bCs w:val="0"/>
                <w:sz w:val="24"/>
                <w:szCs w:val="24"/>
                <w:lang w:val="en-US" w:eastAsia="zh-CN"/>
              </w:rPr>
              <w:t>6.2.1</w:t>
            </w:r>
            <w:r>
              <w:rPr>
                <w:rFonts w:hint="eastAsia" w:ascii="宋体" w:hAnsi="宋体" w:eastAsia="宋体" w:cs="宋体"/>
                <w:b w:val="0"/>
                <w:bCs w:val="0"/>
                <w:sz w:val="24"/>
                <w:szCs w:val="24"/>
              </w:rPr>
              <w:t>选择方案</w:t>
            </w:r>
          </w:p>
          <w:p w14:paraId="2D94C50B">
            <w:pPr>
              <w:keepNext w:val="0"/>
              <w:keepLines w:val="0"/>
              <w:pageBreakBefore w:val="0"/>
              <w:kinsoku/>
              <w:wordWrap/>
              <w:topLinePunct w:val="0"/>
              <w:bidi w:val="0"/>
              <w:snapToGrid/>
              <w:spacing w:line="500" w:lineRule="exact"/>
              <w:ind w:left="0" w:leftChars="0" w:firstLine="0" w:firstLineChars="0"/>
              <w:jc w:val="left"/>
              <w:rPr>
                <w:rFonts w:hint="eastAsia" w:ascii="宋体" w:hAnsi="宋体" w:eastAsia="宋体" w:cs="宋体"/>
                <w:b w:val="0"/>
                <w:bCs w:val="0"/>
                <w:sz w:val="24"/>
                <w:szCs w:val="24"/>
              </w:rPr>
            </w:pPr>
            <w:r>
              <w:rPr>
                <w:rFonts w:hint="eastAsia" w:ascii="宋体" w:hAnsi="宋体" w:cs="宋体"/>
                <w:b w:val="0"/>
                <w:bCs w:val="0"/>
                <w:sz w:val="24"/>
                <w:szCs w:val="24"/>
                <w:lang w:val="en-US" w:eastAsia="zh-CN"/>
              </w:rPr>
              <w:t>6.2.2</w:t>
            </w:r>
            <w:r>
              <w:rPr>
                <w:rFonts w:hint="eastAsia" w:ascii="宋体" w:hAnsi="宋体" w:eastAsia="宋体" w:cs="宋体"/>
                <w:b w:val="0"/>
                <w:bCs w:val="0"/>
                <w:sz w:val="24"/>
                <w:szCs w:val="24"/>
              </w:rPr>
              <w:t>替代方案</w:t>
            </w:r>
          </w:p>
          <w:p w14:paraId="51E06196">
            <w:pPr>
              <w:keepNext w:val="0"/>
              <w:keepLines w:val="0"/>
              <w:pageBreakBefore w:val="0"/>
              <w:kinsoku/>
              <w:wordWrap/>
              <w:topLinePunct w:val="0"/>
              <w:bidi w:val="0"/>
              <w:snapToGrid/>
              <w:spacing w:line="500" w:lineRule="exact"/>
              <w:ind w:left="0" w:leftChars="0" w:firstLine="0" w:firstLineChars="0"/>
              <w:jc w:val="left"/>
              <w:rPr>
                <w:rFonts w:hint="eastAsia" w:ascii="宋体" w:hAnsi="宋体" w:eastAsia="宋体" w:cs="宋体"/>
                <w:b w:val="0"/>
                <w:bCs w:val="0"/>
                <w:sz w:val="24"/>
                <w:szCs w:val="24"/>
              </w:rPr>
            </w:pPr>
            <w:r>
              <w:rPr>
                <w:rFonts w:hint="eastAsia" w:ascii="宋体" w:hAnsi="宋体" w:cs="宋体"/>
                <w:b w:val="0"/>
                <w:bCs w:val="0"/>
                <w:sz w:val="24"/>
                <w:szCs w:val="24"/>
                <w:lang w:val="en-US" w:eastAsia="zh-CN"/>
              </w:rPr>
              <w:t>6.2.3</w:t>
            </w:r>
            <w:r>
              <w:rPr>
                <w:rFonts w:hint="eastAsia" w:ascii="宋体" w:hAnsi="宋体" w:eastAsia="宋体" w:cs="宋体"/>
                <w:b w:val="0"/>
                <w:bCs w:val="0"/>
                <w:sz w:val="24"/>
                <w:szCs w:val="24"/>
              </w:rPr>
              <w:t>补偿金的计划、实施、监控和评估、生计恢复活动和安置阶段持续进行的结果。</w:t>
            </w:r>
          </w:p>
          <w:p w14:paraId="26F5C41A">
            <w:pPr>
              <w:keepNext w:val="0"/>
              <w:keepLines w:val="0"/>
              <w:pageBreakBefore w:val="0"/>
              <w:kinsoku/>
              <w:wordWrap/>
              <w:topLinePunct w:val="0"/>
              <w:bidi w:val="0"/>
              <w:snapToGrid/>
              <w:spacing w:line="500" w:lineRule="exact"/>
              <w:ind w:left="0" w:leftChars="0" w:firstLine="0" w:firstLineChars="0"/>
              <w:jc w:val="left"/>
              <w:rPr>
                <w:rFonts w:hint="eastAsia" w:ascii="宋体" w:hAnsi="宋体" w:eastAsia="宋体" w:cs="宋体"/>
                <w:b w:val="0"/>
                <w:bCs w:val="0"/>
                <w:sz w:val="24"/>
                <w:szCs w:val="24"/>
              </w:rPr>
            </w:pPr>
            <w:r>
              <w:rPr>
                <w:rFonts w:hint="eastAsia" w:ascii="宋体" w:hAnsi="宋体" w:cs="宋体"/>
                <w:b w:val="0"/>
                <w:bCs w:val="0"/>
                <w:sz w:val="24"/>
                <w:szCs w:val="24"/>
                <w:lang w:val="en-US" w:eastAsia="zh-CN"/>
              </w:rPr>
              <w:t>6.2.4</w:t>
            </w:r>
            <w:r>
              <w:rPr>
                <w:rFonts w:hint="eastAsia" w:ascii="宋体" w:hAnsi="宋体" w:eastAsia="宋体" w:cs="宋体"/>
                <w:b w:val="0"/>
                <w:bCs w:val="0"/>
                <w:sz w:val="24"/>
                <w:szCs w:val="24"/>
              </w:rPr>
              <w:t>保证社区的社会动态平衡以及性别差异。设立社区重新安置基金，保证当地就业机会和妇女生计。</w:t>
            </w:r>
          </w:p>
          <w:p w14:paraId="73453188">
            <w:pPr>
              <w:keepNext w:val="0"/>
              <w:keepLines w:val="0"/>
              <w:pageBreakBefore w:val="0"/>
              <w:kinsoku/>
              <w:wordWrap/>
              <w:topLinePunct w:val="0"/>
              <w:bidi w:val="0"/>
              <w:snapToGrid/>
              <w:spacing w:line="500" w:lineRule="exact"/>
              <w:ind w:left="0" w:leftChars="0" w:firstLine="0" w:firstLineChars="0"/>
              <w:jc w:val="left"/>
              <w:rPr>
                <w:rFonts w:hint="eastAsia" w:ascii="宋体" w:hAnsi="宋体" w:eastAsia="宋体" w:cs="宋体"/>
                <w:b w:val="0"/>
                <w:bCs w:val="0"/>
                <w:sz w:val="24"/>
                <w:szCs w:val="24"/>
              </w:rPr>
            </w:pPr>
            <w:r>
              <w:rPr>
                <w:rFonts w:hint="eastAsia" w:ascii="宋体" w:hAnsi="宋体" w:cs="宋体"/>
                <w:b w:val="0"/>
                <w:bCs w:val="0"/>
                <w:sz w:val="24"/>
                <w:szCs w:val="24"/>
                <w:lang w:val="en-US" w:eastAsia="zh-CN"/>
              </w:rPr>
              <w:t>6</w:t>
            </w:r>
            <w:r>
              <w:rPr>
                <w:rFonts w:hint="eastAsia" w:ascii="宋体" w:hAnsi="宋体" w:eastAsia="宋体" w:cs="宋体"/>
                <w:b w:val="0"/>
                <w:bCs w:val="0"/>
                <w:sz w:val="24"/>
                <w:szCs w:val="24"/>
                <w:lang w:val="en-US" w:eastAsia="zh-CN"/>
              </w:rPr>
              <w:t>.3</w:t>
            </w:r>
            <w:r>
              <w:rPr>
                <w:rFonts w:hint="eastAsia" w:ascii="宋体" w:hAnsi="宋体" w:eastAsia="宋体" w:cs="宋体"/>
                <w:b w:val="0"/>
                <w:bCs w:val="0"/>
                <w:sz w:val="24"/>
                <w:szCs w:val="24"/>
              </w:rPr>
              <w:t>定期或不定期组织社区座谈会，讨论和协商社区发展方案。</w:t>
            </w:r>
          </w:p>
          <w:p w14:paraId="26A136A2">
            <w:pPr>
              <w:keepNext w:val="0"/>
              <w:keepLines w:val="0"/>
              <w:pageBreakBefore w:val="0"/>
              <w:kinsoku/>
              <w:wordWrap/>
              <w:topLinePunct w:val="0"/>
              <w:bidi w:val="0"/>
              <w:snapToGrid/>
              <w:spacing w:line="500" w:lineRule="exact"/>
              <w:ind w:left="0" w:leftChars="0" w:firstLine="0" w:firstLineChars="0"/>
              <w:jc w:val="left"/>
              <w:rPr>
                <w:rFonts w:hint="eastAsia" w:ascii="宋体" w:hAnsi="宋体" w:eastAsia="宋体" w:cs="宋体"/>
                <w:b w:val="0"/>
                <w:bCs w:val="0"/>
                <w:sz w:val="24"/>
                <w:szCs w:val="24"/>
                <w:lang w:val="en-US" w:eastAsia="zh-CN"/>
              </w:rPr>
            </w:pPr>
            <w:r>
              <w:rPr>
                <w:rFonts w:hint="eastAsia" w:ascii="宋体" w:hAnsi="宋体" w:eastAsia="宋体" w:cs="宋体"/>
                <w:b w:val="0"/>
                <w:bCs w:val="0"/>
                <w:sz w:val="24"/>
                <w:szCs w:val="24"/>
                <w:lang w:val="en-US" w:eastAsia="zh-CN"/>
              </w:rPr>
              <w:t>6.4至少每五年对重新安置计划进行一次复审。在企业有任何变动，并导致制定计划的条件发生实质变化后，对重新安置计划进行审查。在出现控制缺陷迹象时，要对改重新安置计划进行审查。</w:t>
            </w:r>
          </w:p>
          <w:p w14:paraId="06412BA3">
            <w:pPr>
              <w:keepNext w:val="0"/>
              <w:keepLines w:val="0"/>
              <w:pageBreakBefore w:val="0"/>
              <w:widowControl w:val="0"/>
              <w:kinsoku/>
              <w:wordWrap/>
              <w:overflowPunct/>
              <w:topLinePunct w:val="0"/>
              <w:autoSpaceDE/>
              <w:autoSpaceDN/>
              <w:bidi w:val="0"/>
              <w:adjustRightInd/>
              <w:snapToGrid/>
              <w:spacing w:line="240" w:lineRule="exact"/>
              <w:textAlignment w:val="auto"/>
              <w:rPr>
                <w:rFonts w:hint="eastAsia"/>
                <w:sz w:val="24"/>
                <w:highlight w:val="none"/>
                <w:lang w:val="en-US" w:eastAsia="zh-CN"/>
              </w:rPr>
            </w:pPr>
          </w:p>
          <w:p w14:paraId="697E6778">
            <w:pPr>
              <w:spacing w:line="360" w:lineRule="auto"/>
              <w:jc w:val="left"/>
              <w:rPr>
                <w:rFonts w:ascii="宋体" w:hAnsi="宋体" w:cs="Arial"/>
                <w:b/>
                <w:szCs w:val="21"/>
              </w:rPr>
            </w:pPr>
          </w:p>
        </w:tc>
      </w:tr>
      <w:tr w14:paraId="7276D42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0" w:hRule="atLeast"/>
          <w:jc w:val="center"/>
        </w:trPr>
        <w:tc>
          <w:tcPr>
            <w:tcW w:w="10206" w:type="dxa"/>
            <w:gridSpan w:val="12"/>
            <w:tcBorders>
              <w:top w:val="single" w:color="auto" w:sz="6" w:space="0"/>
              <w:bottom w:val="single" w:color="auto" w:sz="6" w:space="0"/>
            </w:tcBorders>
            <w:vAlign w:val="center"/>
          </w:tcPr>
          <w:p w14:paraId="1AE313CD">
            <w:pPr>
              <w:spacing w:line="360" w:lineRule="auto"/>
              <w:jc w:val="left"/>
              <w:rPr>
                <w:rFonts w:ascii="宋体" w:hAnsi="宋体" w:cs="Arial"/>
                <w:b/>
                <w:sz w:val="24"/>
              </w:rPr>
            </w:pPr>
            <w:r>
              <w:rPr>
                <w:rFonts w:hint="eastAsia" w:ascii="宋体" w:hAnsi="宋体" w:cs="Arial"/>
                <w:b/>
                <w:sz w:val="24"/>
              </w:rPr>
              <w:t>8.</w:t>
            </w:r>
            <w:r>
              <w:rPr>
                <w:rFonts w:ascii="宋体" w:hAnsi="宋体" w:cs="Arial"/>
                <w:b/>
                <w:sz w:val="24"/>
              </w:rPr>
              <w:t xml:space="preserve"> </w:t>
            </w:r>
            <w:r>
              <w:rPr>
                <w:rFonts w:hint="eastAsia" w:ascii="宋体" w:hAnsi="宋体" w:cs="Arial"/>
                <w:b/>
                <w:sz w:val="24"/>
              </w:rPr>
              <w:t>相关文件</w:t>
            </w:r>
          </w:p>
        </w:tc>
      </w:tr>
      <w:tr w14:paraId="13E4441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0" w:hRule="atLeast"/>
          <w:jc w:val="center"/>
        </w:trPr>
        <w:tc>
          <w:tcPr>
            <w:tcW w:w="2537" w:type="dxa"/>
            <w:gridSpan w:val="3"/>
            <w:tcBorders>
              <w:top w:val="single" w:color="auto" w:sz="6" w:space="0"/>
              <w:bottom w:val="single" w:color="auto" w:sz="6" w:space="0"/>
            </w:tcBorders>
          </w:tcPr>
          <w:p w14:paraId="07CB70FE">
            <w:pPr>
              <w:jc w:val="center"/>
              <w:rPr>
                <w:rFonts w:ascii="宋体" w:hAnsi="宋体"/>
                <w:b/>
                <w:sz w:val="24"/>
              </w:rPr>
            </w:pPr>
            <w:r>
              <w:rPr>
                <w:rFonts w:hint="eastAsia" w:ascii="宋体" w:hAnsi="宋体"/>
                <w:b/>
                <w:sz w:val="24"/>
              </w:rPr>
              <w:t>序号</w:t>
            </w:r>
          </w:p>
        </w:tc>
        <w:tc>
          <w:tcPr>
            <w:tcW w:w="5705" w:type="dxa"/>
            <w:gridSpan w:val="7"/>
            <w:tcBorders>
              <w:top w:val="single" w:color="auto" w:sz="6" w:space="0"/>
              <w:bottom w:val="single" w:color="auto" w:sz="6" w:space="0"/>
            </w:tcBorders>
          </w:tcPr>
          <w:p w14:paraId="18EC7486">
            <w:pPr>
              <w:jc w:val="center"/>
              <w:rPr>
                <w:rFonts w:ascii="宋体" w:hAnsi="宋体"/>
                <w:b/>
                <w:sz w:val="24"/>
              </w:rPr>
            </w:pPr>
            <w:r>
              <w:rPr>
                <w:rFonts w:hint="eastAsia" w:ascii="宋体" w:hAnsi="宋体"/>
                <w:b/>
                <w:sz w:val="24"/>
              </w:rPr>
              <w:t>文件名称</w:t>
            </w:r>
          </w:p>
        </w:tc>
        <w:tc>
          <w:tcPr>
            <w:tcW w:w="1964" w:type="dxa"/>
            <w:gridSpan w:val="2"/>
            <w:tcBorders>
              <w:top w:val="single" w:color="auto" w:sz="6" w:space="0"/>
              <w:bottom w:val="single" w:color="auto" w:sz="6" w:space="0"/>
            </w:tcBorders>
            <w:vAlign w:val="center"/>
          </w:tcPr>
          <w:p w14:paraId="2FCDD7A0">
            <w:pPr>
              <w:jc w:val="center"/>
              <w:rPr>
                <w:rFonts w:ascii="宋体" w:hAnsi="宋体"/>
                <w:b/>
                <w:sz w:val="24"/>
              </w:rPr>
            </w:pPr>
            <w:r>
              <w:rPr>
                <w:rFonts w:hint="eastAsia" w:ascii="宋体" w:hAnsi="宋体"/>
                <w:b/>
                <w:sz w:val="24"/>
              </w:rPr>
              <w:t>文件编号</w:t>
            </w:r>
          </w:p>
        </w:tc>
      </w:tr>
      <w:tr w14:paraId="3F8D439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0" w:hRule="atLeast"/>
          <w:jc w:val="center"/>
        </w:trPr>
        <w:tc>
          <w:tcPr>
            <w:tcW w:w="2537" w:type="dxa"/>
            <w:gridSpan w:val="3"/>
            <w:tcBorders>
              <w:top w:val="single" w:color="auto" w:sz="6" w:space="0"/>
              <w:bottom w:val="single" w:color="auto" w:sz="6" w:space="0"/>
            </w:tcBorders>
            <w:vAlign w:val="center"/>
          </w:tcPr>
          <w:p w14:paraId="1FAF5301">
            <w:pPr>
              <w:tabs>
                <w:tab w:val="left" w:pos="1485"/>
              </w:tabs>
              <w:jc w:val="center"/>
              <w:rPr>
                <w:rFonts w:hint="default" w:ascii="Arial" w:hAnsi="Arial" w:eastAsia="宋体" w:cs="Arial"/>
                <w:szCs w:val="21"/>
                <w:lang w:val="en-US" w:eastAsia="zh-CN"/>
              </w:rPr>
            </w:pPr>
            <w:r>
              <w:rPr>
                <w:rFonts w:hint="eastAsia" w:ascii="Arial" w:hAnsi="Arial" w:cs="Arial"/>
                <w:szCs w:val="21"/>
                <w:lang w:val="en-US" w:eastAsia="zh-CN"/>
              </w:rPr>
              <w:t>--</w:t>
            </w:r>
          </w:p>
        </w:tc>
        <w:tc>
          <w:tcPr>
            <w:tcW w:w="5705" w:type="dxa"/>
            <w:gridSpan w:val="7"/>
            <w:tcBorders>
              <w:top w:val="single" w:color="auto" w:sz="6" w:space="0"/>
              <w:bottom w:val="single" w:color="auto" w:sz="6" w:space="0"/>
            </w:tcBorders>
            <w:vAlign w:val="center"/>
          </w:tcPr>
          <w:p w14:paraId="5903201A">
            <w:pPr>
              <w:tabs>
                <w:tab w:val="left" w:pos="1485"/>
              </w:tabs>
              <w:jc w:val="center"/>
              <w:rPr>
                <w:rFonts w:hint="default" w:ascii="Arial" w:hAnsi="宋体" w:eastAsia="宋体" w:cs="Arial"/>
                <w:szCs w:val="21"/>
                <w:lang w:val="en-US" w:eastAsia="zh-CN"/>
              </w:rPr>
            </w:pPr>
            <w:r>
              <w:rPr>
                <w:rFonts w:hint="eastAsia" w:ascii="Arial" w:hAnsi="宋体" w:cs="Arial"/>
                <w:szCs w:val="21"/>
                <w:lang w:val="en-US" w:eastAsia="zh-CN"/>
              </w:rPr>
              <w:t>--</w:t>
            </w:r>
          </w:p>
        </w:tc>
        <w:tc>
          <w:tcPr>
            <w:tcW w:w="1964" w:type="dxa"/>
            <w:gridSpan w:val="2"/>
            <w:tcBorders>
              <w:top w:val="single" w:color="auto" w:sz="6" w:space="0"/>
              <w:bottom w:val="single" w:color="auto" w:sz="6" w:space="0"/>
            </w:tcBorders>
            <w:vAlign w:val="center"/>
          </w:tcPr>
          <w:p w14:paraId="6DF580A7">
            <w:pPr>
              <w:jc w:val="center"/>
              <w:rPr>
                <w:rFonts w:hint="default" w:ascii="宋体" w:hAnsi="宋体" w:eastAsia="宋体"/>
                <w:szCs w:val="21"/>
                <w:lang w:val="en-US" w:eastAsia="zh-CN"/>
              </w:rPr>
            </w:pPr>
            <w:r>
              <w:rPr>
                <w:rFonts w:hint="eastAsia" w:ascii="宋体" w:hAnsi="宋体"/>
                <w:szCs w:val="21"/>
                <w:lang w:val="en-US" w:eastAsia="zh-CN"/>
              </w:rPr>
              <w:t>--</w:t>
            </w:r>
          </w:p>
        </w:tc>
      </w:tr>
      <w:tr w14:paraId="0EE0AE9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0" w:hRule="atLeast"/>
          <w:jc w:val="center"/>
        </w:trPr>
        <w:tc>
          <w:tcPr>
            <w:tcW w:w="10206" w:type="dxa"/>
            <w:gridSpan w:val="12"/>
            <w:tcBorders>
              <w:top w:val="single" w:color="auto" w:sz="6" w:space="0"/>
              <w:bottom w:val="single" w:color="auto" w:sz="6" w:space="0"/>
            </w:tcBorders>
            <w:vAlign w:val="center"/>
          </w:tcPr>
          <w:p w14:paraId="285CDA6A">
            <w:pPr>
              <w:spacing w:line="360" w:lineRule="auto"/>
              <w:ind w:firstLine="482" w:firstLineChars="200"/>
              <w:jc w:val="left"/>
              <w:rPr>
                <w:rFonts w:ascii="宋体" w:hAnsi="宋体" w:cs="Arial"/>
                <w:b/>
                <w:sz w:val="24"/>
              </w:rPr>
            </w:pPr>
          </w:p>
          <w:p w14:paraId="585C181B">
            <w:pPr>
              <w:spacing w:line="360" w:lineRule="auto"/>
              <w:jc w:val="left"/>
              <w:rPr>
                <w:rFonts w:ascii="宋体" w:hAnsi="宋体"/>
                <w:sz w:val="24"/>
              </w:rPr>
            </w:pPr>
            <w:r>
              <w:rPr>
                <w:rFonts w:hint="eastAsia" w:ascii="宋体" w:hAnsi="宋体" w:cs="Arial"/>
                <w:b/>
                <w:sz w:val="24"/>
              </w:rPr>
              <w:t>9.</w:t>
            </w:r>
            <w:r>
              <w:rPr>
                <w:rFonts w:ascii="宋体" w:hAnsi="宋体" w:cs="Arial"/>
                <w:b/>
                <w:sz w:val="24"/>
              </w:rPr>
              <w:t xml:space="preserve"> </w:t>
            </w:r>
            <w:r>
              <w:rPr>
                <w:rFonts w:hint="eastAsia" w:ascii="宋体" w:hAnsi="宋体" w:cs="Arial"/>
                <w:b/>
                <w:sz w:val="24"/>
              </w:rPr>
              <w:t>相关记录</w:t>
            </w:r>
          </w:p>
        </w:tc>
      </w:tr>
      <w:tr w14:paraId="0C19C0F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0" w:hRule="atLeast"/>
          <w:jc w:val="center"/>
        </w:trPr>
        <w:tc>
          <w:tcPr>
            <w:tcW w:w="2537" w:type="dxa"/>
            <w:gridSpan w:val="3"/>
            <w:tcBorders>
              <w:top w:val="single" w:color="auto" w:sz="6" w:space="0"/>
              <w:bottom w:val="single" w:color="auto" w:sz="6" w:space="0"/>
            </w:tcBorders>
            <w:vAlign w:val="center"/>
          </w:tcPr>
          <w:p w14:paraId="778D4027">
            <w:pPr>
              <w:jc w:val="center"/>
              <w:rPr>
                <w:rFonts w:ascii="宋体" w:hAnsi="宋体"/>
                <w:b/>
                <w:sz w:val="24"/>
              </w:rPr>
            </w:pPr>
            <w:r>
              <w:rPr>
                <w:rFonts w:hint="eastAsia" w:ascii="宋体" w:hAnsi="宋体"/>
                <w:b/>
                <w:sz w:val="24"/>
              </w:rPr>
              <w:t>序号</w:t>
            </w:r>
          </w:p>
        </w:tc>
        <w:tc>
          <w:tcPr>
            <w:tcW w:w="3402" w:type="dxa"/>
            <w:gridSpan w:val="3"/>
            <w:tcBorders>
              <w:top w:val="single" w:color="auto" w:sz="6" w:space="0"/>
              <w:bottom w:val="single" w:color="auto" w:sz="6" w:space="0"/>
            </w:tcBorders>
            <w:vAlign w:val="center"/>
          </w:tcPr>
          <w:p w14:paraId="362F62DB">
            <w:pPr>
              <w:jc w:val="center"/>
              <w:rPr>
                <w:rFonts w:ascii="宋体" w:hAnsi="宋体"/>
                <w:b/>
                <w:sz w:val="24"/>
              </w:rPr>
            </w:pPr>
            <w:r>
              <w:rPr>
                <w:rFonts w:hint="eastAsia" w:ascii="宋体" w:hAnsi="宋体"/>
                <w:b/>
                <w:sz w:val="24"/>
              </w:rPr>
              <w:t>记录名称</w:t>
            </w:r>
          </w:p>
        </w:tc>
        <w:tc>
          <w:tcPr>
            <w:tcW w:w="2268" w:type="dxa"/>
            <w:gridSpan w:val="3"/>
            <w:tcBorders>
              <w:top w:val="single" w:color="auto" w:sz="6" w:space="0"/>
              <w:bottom w:val="single" w:color="auto" w:sz="6" w:space="0"/>
            </w:tcBorders>
            <w:vAlign w:val="center"/>
          </w:tcPr>
          <w:p w14:paraId="12FA20D4">
            <w:pPr>
              <w:jc w:val="center"/>
              <w:rPr>
                <w:rFonts w:ascii="宋体" w:hAnsi="宋体"/>
                <w:b/>
                <w:sz w:val="24"/>
              </w:rPr>
            </w:pPr>
            <w:r>
              <w:rPr>
                <w:rFonts w:hint="eastAsia" w:ascii="宋体" w:hAnsi="宋体"/>
                <w:b/>
                <w:sz w:val="24"/>
              </w:rPr>
              <w:t>记录编号</w:t>
            </w:r>
          </w:p>
        </w:tc>
        <w:tc>
          <w:tcPr>
            <w:tcW w:w="1999" w:type="dxa"/>
            <w:gridSpan w:val="3"/>
            <w:tcBorders>
              <w:top w:val="single" w:color="auto" w:sz="6" w:space="0"/>
              <w:bottom w:val="single" w:color="auto" w:sz="6" w:space="0"/>
            </w:tcBorders>
          </w:tcPr>
          <w:p w14:paraId="3966255B">
            <w:pPr>
              <w:jc w:val="center"/>
              <w:rPr>
                <w:rFonts w:ascii="宋体" w:hAnsi="宋体"/>
                <w:b/>
                <w:sz w:val="24"/>
              </w:rPr>
            </w:pPr>
            <w:r>
              <w:rPr>
                <w:rFonts w:hint="eastAsia" w:ascii="宋体" w:hAnsi="宋体"/>
                <w:b/>
                <w:sz w:val="24"/>
              </w:rPr>
              <w:t>保存期限</w:t>
            </w:r>
          </w:p>
        </w:tc>
      </w:tr>
      <w:tr w14:paraId="0473E0E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0" w:hRule="atLeast"/>
          <w:jc w:val="center"/>
        </w:trPr>
        <w:tc>
          <w:tcPr>
            <w:tcW w:w="2537" w:type="dxa"/>
            <w:gridSpan w:val="3"/>
            <w:tcBorders>
              <w:top w:val="single" w:color="auto" w:sz="6" w:space="0"/>
              <w:bottom w:val="single" w:color="auto" w:sz="6" w:space="0"/>
            </w:tcBorders>
            <w:vAlign w:val="center"/>
          </w:tcPr>
          <w:p w14:paraId="6D39E143">
            <w:pPr>
              <w:tabs>
                <w:tab w:val="left" w:pos="1485"/>
              </w:tabs>
              <w:jc w:val="center"/>
              <w:rPr>
                <w:rFonts w:hint="default" w:ascii="宋体" w:hAnsi="宋体" w:eastAsia="宋体" w:cs="Arial"/>
                <w:sz w:val="24"/>
                <w:lang w:val="en-US" w:eastAsia="zh-CN"/>
              </w:rPr>
            </w:pPr>
            <w:bookmarkStart w:id="0" w:name="_GoBack" w:colFirst="0" w:colLast="4"/>
            <w:r>
              <w:rPr>
                <w:rFonts w:hint="eastAsia" w:ascii="宋体" w:hAnsi="宋体" w:cs="Arial"/>
                <w:sz w:val="24"/>
                <w:lang w:val="en-US" w:eastAsia="zh-CN"/>
              </w:rPr>
              <w:t>--</w:t>
            </w:r>
          </w:p>
        </w:tc>
        <w:tc>
          <w:tcPr>
            <w:tcW w:w="3402" w:type="dxa"/>
            <w:gridSpan w:val="3"/>
            <w:tcBorders>
              <w:top w:val="single" w:color="auto" w:sz="6" w:space="0"/>
              <w:bottom w:val="single" w:color="auto" w:sz="6" w:space="0"/>
            </w:tcBorders>
            <w:vAlign w:val="center"/>
          </w:tcPr>
          <w:p w14:paraId="5BE683BF">
            <w:pPr>
              <w:tabs>
                <w:tab w:val="left" w:pos="1485"/>
              </w:tabs>
              <w:jc w:val="center"/>
              <w:rPr>
                <w:rFonts w:hint="default" w:ascii="宋体" w:hAnsi="宋体" w:eastAsia="宋体"/>
                <w:sz w:val="24"/>
                <w:lang w:val="en-US" w:eastAsia="zh-CN"/>
              </w:rPr>
            </w:pPr>
            <w:r>
              <w:rPr>
                <w:rFonts w:hint="eastAsia" w:ascii="宋体" w:hAnsi="宋体"/>
                <w:sz w:val="24"/>
                <w:lang w:val="en-US" w:eastAsia="zh-CN"/>
              </w:rPr>
              <w:t>--</w:t>
            </w:r>
          </w:p>
        </w:tc>
        <w:tc>
          <w:tcPr>
            <w:tcW w:w="2268" w:type="dxa"/>
            <w:gridSpan w:val="3"/>
            <w:tcBorders>
              <w:top w:val="single" w:color="auto" w:sz="6" w:space="0"/>
              <w:bottom w:val="single" w:color="auto" w:sz="6" w:space="0"/>
            </w:tcBorders>
            <w:vAlign w:val="center"/>
          </w:tcPr>
          <w:p w14:paraId="07B1F40B">
            <w:pPr>
              <w:jc w:val="center"/>
              <w:rPr>
                <w:rFonts w:hint="default" w:ascii="宋体" w:hAnsi="宋体" w:eastAsia="宋体" w:cs="Arial"/>
                <w:bCs/>
                <w:sz w:val="24"/>
                <w:lang w:val="en-US" w:eastAsia="zh-CN"/>
              </w:rPr>
            </w:pPr>
            <w:r>
              <w:rPr>
                <w:rFonts w:hint="eastAsia" w:ascii="宋体" w:hAnsi="宋体" w:cs="Arial"/>
                <w:bCs/>
                <w:sz w:val="24"/>
                <w:lang w:val="en-US" w:eastAsia="zh-CN"/>
              </w:rPr>
              <w:t>--</w:t>
            </w:r>
          </w:p>
        </w:tc>
        <w:tc>
          <w:tcPr>
            <w:tcW w:w="1999" w:type="dxa"/>
            <w:gridSpan w:val="3"/>
            <w:tcBorders>
              <w:top w:val="single" w:color="auto" w:sz="6" w:space="0"/>
              <w:bottom w:val="single" w:color="auto" w:sz="6" w:space="0"/>
            </w:tcBorders>
          </w:tcPr>
          <w:p w14:paraId="7621464E">
            <w:pPr>
              <w:tabs>
                <w:tab w:val="left" w:pos="298"/>
              </w:tabs>
              <w:jc w:val="center"/>
              <w:rPr>
                <w:rFonts w:hint="default" w:ascii="宋体" w:hAnsi="宋体" w:eastAsia="宋体"/>
                <w:sz w:val="24"/>
                <w:lang w:val="en-US" w:eastAsia="zh-CN"/>
              </w:rPr>
            </w:pPr>
            <w:r>
              <w:rPr>
                <w:rFonts w:hint="eastAsia" w:ascii="宋体" w:hAnsi="宋体"/>
                <w:sz w:val="24"/>
                <w:lang w:val="en-US" w:eastAsia="zh-CN"/>
              </w:rPr>
              <w:t>--</w:t>
            </w:r>
          </w:p>
        </w:tc>
      </w:tr>
      <w:bookmarkEnd w:id="0"/>
      <w:tr w14:paraId="5C5F64E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46" w:hRule="atLeast"/>
          <w:jc w:val="center"/>
        </w:trPr>
        <w:tc>
          <w:tcPr>
            <w:tcW w:w="10206" w:type="dxa"/>
            <w:gridSpan w:val="12"/>
            <w:tcBorders>
              <w:top w:val="single" w:color="auto" w:sz="12" w:space="0"/>
              <w:bottom w:val="single" w:color="auto" w:sz="12" w:space="0"/>
            </w:tcBorders>
            <w:vAlign w:val="center"/>
          </w:tcPr>
          <w:p w14:paraId="7F1116A6">
            <w:pPr>
              <w:spacing w:line="360" w:lineRule="auto"/>
            </w:pPr>
          </w:p>
          <w:p w14:paraId="169A70CF">
            <w:pPr>
              <w:spacing w:line="360" w:lineRule="auto"/>
              <w:rPr>
                <w:rFonts w:ascii="宋体" w:hAnsi="宋体"/>
                <w:b/>
                <w:sz w:val="24"/>
              </w:rPr>
            </w:pPr>
            <w:r>
              <w:rPr>
                <w:rFonts w:hint="eastAsia" w:ascii="宋体" w:hAnsi="宋体"/>
                <w:b/>
                <w:sz w:val="24"/>
              </w:rPr>
              <w:t>文件更改履历</w:t>
            </w:r>
          </w:p>
        </w:tc>
      </w:tr>
      <w:tr w14:paraId="4F4D3D0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0" w:hRule="atLeast"/>
          <w:jc w:val="center"/>
        </w:trPr>
        <w:tc>
          <w:tcPr>
            <w:tcW w:w="2269" w:type="dxa"/>
            <w:gridSpan w:val="2"/>
            <w:tcBorders>
              <w:top w:val="single" w:color="auto" w:sz="4" w:space="0"/>
              <w:bottom w:val="single" w:color="auto" w:sz="6" w:space="0"/>
            </w:tcBorders>
            <w:vAlign w:val="center"/>
          </w:tcPr>
          <w:p w14:paraId="257678F5">
            <w:pPr>
              <w:jc w:val="center"/>
              <w:rPr>
                <w:rFonts w:ascii="宋体" w:hAnsi="宋体"/>
                <w:b/>
                <w:sz w:val="24"/>
              </w:rPr>
            </w:pPr>
            <w:r>
              <w:rPr>
                <w:rFonts w:hint="eastAsia" w:ascii="宋体" w:hAnsi="宋体"/>
                <w:b/>
                <w:sz w:val="24"/>
              </w:rPr>
              <w:t>版本/修订状态</w:t>
            </w:r>
          </w:p>
        </w:tc>
        <w:tc>
          <w:tcPr>
            <w:tcW w:w="2268" w:type="dxa"/>
            <w:gridSpan w:val="3"/>
            <w:tcBorders>
              <w:top w:val="single" w:color="auto" w:sz="4" w:space="0"/>
              <w:bottom w:val="single" w:color="auto" w:sz="6" w:space="0"/>
            </w:tcBorders>
            <w:vAlign w:val="center"/>
          </w:tcPr>
          <w:p w14:paraId="18215DB2">
            <w:pPr>
              <w:jc w:val="center"/>
              <w:rPr>
                <w:rFonts w:ascii="宋体" w:hAnsi="宋体"/>
                <w:b/>
                <w:sz w:val="24"/>
              </w:rPr>
            </w:pPr>
            <w:r>
              <w:rPr>
                <w:rFonts w:hint="eastAsia" w:ascii="宋体" w:hAnsi="宋体"/>
                <w:b/>
                <w:sz w:val="24"/>
              </w:rPr>
              <w:t>修订日期</w:t>
            </w:r>
          </w:p>
        </w:tc>
        <w:tc>
          <w:tcPr>
            <w:tcW w:w="4535" w:type="dxa"/>
            <w:gridSpan w:val="6"/>
            <w:tcBorders>
              <w:top w:val="single" w:color="auto" w:sz="4" w:space="0"/>
              <w:bottom w:val="single" w:color="auto" w:sz="6" w:space="0"/>
            </w:tcBorders>
            <w:vAlign w:val="center"/>
          </w:tcPr>
          <w:p w14:paraId="227D378D">
            <w:pPr>
              <w:jc w:val="center"/>
              <w:rPr>
                <w:rFonts w:ascii="宋体" w:hAnsi="宋体"/>
                <w:b/>
                <w:sz w:val="24"/>
              </w:rPr>
            </w:pPr>
            <w:r>
              <w:rPr>
                <w:rFonts w:hint="eastAsia" w:ascii="宋体" w:hAnsi="宋体"/>
                <w:b/>
                <w:sz w:val="24"/>
              </w:rPr>
              <w:t>修订原因</w:t>
            </w:r>
          </w:p>
        </w:tc>
        <w:tc>
          <w:tcPr>
            <w:tcW w:w="1134" w:type="dxa"/>
            <w:tcBorders>
              <w:top w:val="single" w:color="auto" w:sz="4" w:space="0"/>
              <w:bottom w:val="single" w:color="auto" w:sz="6" w:space="0"/>
            </w:tcBorders>
            <w:vAlign w:val="center"/>
          </w:tcPr>
          <w:p w14:paraId="099FDAF0">
            <w:pPr>
              <w:jc w:val="center"/>
              <w:rPr>
                <w:rFonts w:ascii="宋体" w:hAnsi="宋体"/>
                <w:b/>
                <w:sz w:val="24"/>
              </w:rPr>
            </w:pPr>
            <w:r>
              <w:rPr>
                <w:rFonts w:ascii="宋体" w:hAnsi="宋体"/>
                <w:b/>
                <w:sz w:val="24"/>
              </w:rPr>
              <w:t>修订人</w:t>
            </w:r>
          </w:p>
        </w:tc>
      </w:tr>
      <w:tr w14:paraId="0046948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0" w:hRule="atLeast"/>
          <w:jc w:val="center"/>
        </w:trPr>
        <w:tc>
          <w:tcPr>
            <w:tcW w:w="2269" w:type="dxa"/>
            <w:gridSpan w:val="2"/>
            <w:tcBorders>
              <w:top w:val="single" w:color="auto" w:sz="4" w:space="0"/>
              <w:bottom w:val="single" w:color="auto" w:sz="6" w:space="0"/>
            </w:tcBorders>
            <w:vAlign w:val="center"/>
          </w:tcPr>
          <w:p w14:paraId="145FF64C">
            <w:pPr>
              <w:tabs>
                <w:tab w:val="left" w:pos="1485"/>
              </w:tabs>
              <w:jc w:val="center"/>
              <w:rPr>
                <w:rFonts w:hint="default" w:ascii="Arial" w:hAnsi="Arial" w:eastAsia="宋体" w:cs="Arial"/>
                <w:sz w:val="24"/>
                <w:lang w:val="en-US" w:eastAsia="zh-CN"/>
              </w:rPr>
            </w:pPr>
            <w:r>
              <w:rPr>
                <w:rFonts w:hint="eastAsia" w:ascii="Arial" w:hAnsi="Arial" w:cs="Arial"/>
                <w:sz w:val="24"/>
                <w:lang w:val="en-US" w:eastAsia="zh-CN"/>
              </w:rPr>
              <w:t>A0</w:t>
            </w:r>
          </w:p>
        </w:tc>
        <w:tc>
          <w:tcPr>
            <w:tcW w:w="2268" w:type="dxa"/>
            <w:gridSpan w:val="3"/>
            <w:tcBorders>
              <w:top w:val="single" w:color="auto" w:sz="4" w:space="0"/>
              <w:bottom w:val="single" w:color="auto" w:sz="6" w:space="0"/>
            </w:tcBorders>
            <w:vAlign w:val="center"/>
          </w:tcPr>
          <w:p w14:paraId="56F9EF38">
            <w:pPr>
              <w:tabs>
                <w:tab w:val="left" w:pos="1485"/>
              </w:tabs>
              <w:jc w:val="left"/>
              <w:rPr>
                <w:rFonts w:hint="default" w:ascii="Arial" w:hAnsi="Arial" w:eastAsia="宋体" w:cs="Arial"/>
                <w:sz w:val="24"/>
                <w:lang w:val="en-US" w:eastAsia="zh-CN"/>
              </w:rPr>
            </w:pPr>
            <w:r>
              <w:rPr>
                <w:rFonts w:hint="eastAsia" w:ascii="Arial" w:hAnsi="Arial" w:cs="Arial"/>
                <w:sz w:val="24"/>
                <w:lang w:val="en-US" w:eastAsia="zh-CN"/>
              </w:rPr>
              <w:t>2024.1.1</w:t>
            </w:r>
          </w:p>
        </w:tc>
        <w:tc>
          <w:tcPr>
            <w:tcW w:w="4535" w:type="dxa"/>
            <w:gridSpan w:val="6"/>
            <w:tcBorders>
              <w:top w:val="single" w:color="auto" w:sz="4" w:space="0"/>
              <w:bottom w:val="single" w:color="auto" w:sz="6" w:space="0"/>
            </w:tcBorders>
            <w:vAlign w:val="center"/>
          </w:tcPr>
          <w:p w14:paraId="2E68AAD0">
            <w:pPr>
              <w:tabs>
                <w:tab w:val="left" w:pos="1485"/>
              </w:tabs>
              <w:jc w:val="center"/>
              <w:rPr>
                <w:rFonts w:hint="default" w:ascii="Arial" w:hAnsi="Arial" w:eastAsia="宋体" w:cs="Arial"/>
                <w:sz w:val="24"/>
                <w:lang w:val="en-US" w:eastAsia="zh-CN"/>
              </w:rPr>
            </w:pPr>
            <w:r>
              <w:rPr>
                <w:rFonts w:hint="eastAsia" w:ascii="Arial" w:hAnsi="Arial" w:cs="Arial"/>
                <w:sz w:val="24"/>
                <w:lang w:val="en-US" w:eastAsia="zh-CN"/>
              </w:rPr>
              <w:t>新规制成</w:t>
            </w:r>
          </w:p>
        </w:tc>
        <w:tc>
          <w:tcPr>
            <w:tcW w:w="1134" w:type="dxa"/>
            <w:tcBorders>
              <w:top w:val="single" w:color="auto" w:sz="4" w:space="0"/>
              <w:bottom w:val="single" w:color="auto" w:sz="6" w:space="0"/>
            </w:tcBorders>
            <w:vAlign w:val="center"/>
          </w:tcPr>
          <w:p w14:paraId="247B8730">
            <w:pPr>
              <w:tabs>
                <w:tab w:val="left" w:pos="1485"/>
              </w:tabs>
              <w:jc w:val="center"/>
              <w:rPr>
                <w:rFonts w:hint="eastAsia" w:ascii="Arial" w:hAnsi="Arial" w:eastAsia="宋体" w:cs="Arial"/>
                <w:sz w:val="24"/>
                <w:lang w:val="en-US" w:eastAsia="zh-CN"/>
              </w:rPr>
            </w:pPr>
            <w:r>
              <w:rPr>
                <w:rFonts w:hint="eastAsia" w:ascii="Arial" w:hAnsi="Arial" w:cs="Arial"/>
                <w:sz w:val="24"/>
                <w:lang w:val="en-US" w:eastAsia="zh-CN"/>
              </w:rPr>
              <w:t>吴敏莹</w:t>
            </w:r>
          </w:p>
        </w:tc>
      </w:tr>
      <w:tr w14:paraId="089D877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0" w:hRule="atLeast"/>
          <w:jc w:val="center"/>
        </w:trPr>
        <w:tc>
          <w:tcPr>
            <w:tcW w:w="2269" w:type="dxa"/>
            <w:gridSpan w:val="2"/>
            <w:tcBorders>
              <w:top w:val="single" w:color="auto" w:sz="6" w:space="0"/>
              <w:bottom w:val="single" w:color="auto" w:sz="6" w:space="0"/>
            </w:tcBorders>
            <w:vAlign w:val="center"/>
          </w:tcPr>
          <w:p w14:paraId="105DB7EB">
            <w:pPr>
              <w:tabs>
                <w:tab w:val="left" w:pos="1485"/>
              </w:tabs>
              <w:jc w:val="center"/>
              <w:rPr>
                <w:rFonts w:ascii="Arial" w:hAnsi="Arial" w:cs="Arial"/>
                <w:sz w:val="24"/>
              </w:rPr>
            </w:pPr>
          </w:p>
        </w:tc>
        <w:tc>
          <w:tcPr>
            <w:tcW w:w="2268" w:type="dxa"/>
            <w:gridSpan w:val="3"/>
            <w:tcBorders>
              <w:top w:val="single" w:color="auto" w:sz="6" w:space="0"/>
              <w:bottom w:val="single" w:color="auto" w:sz="6" w:space="0"/>
            </w:tcBorders>
            <w:vAlign w:val="center"/>
          </w:tcPr>
          <w:p w14:paraId="3C923A32">
            <w:pPr>
              <w:tabs>
                <w:tab w:val="left" w:pos="1485"/>
              </w:tabs>
              <w:jc w:val="left"/>
              <w:rPr>
                <w:rFonts w:ascii="Arial" w:hAnsi="Arial" w:cs="Arial"/>
                <w:sz w:val="24"/>
              </w:rPr>
            </w:pPr>
          </w:p>
        </w:tc>
        <w:tc>
          <w:tcPr>
            <w:tcW w:w="4535" w:type="dxa"/>
            <w:gridSpan w:val="6"/>
            <w:tcBorders>
              <w:top w:val="single" w:color="auto" w:sz="6" w:space="0"/>
              <w:bottom w:val="single" w:color="auto" w:sz="6" w:space="0"/>
            </w:tcBorders>
            <w:vAlign w:val="center"/>
          </w:tcPr>
          <w:p w14:paraId="017E9777">
            <w:pPr>
              <w:tabs>
                <w:tab w:val="left" w:pos="1485"/>
              </w:tabs>
              <w:jc w:val="center"/>
              <w:rPr>
                <w:rFonts w:ascii="Arial" w:hAnsi="Arial" w:cs="Arial"/>
                <w:sz w:val="24"/>
              </w:rPr>
            </w:pPr>
          </w:p>
        </w:tc>
        <w:tc>
          <w:tcPr>
            <w:tcW w:w="1134" w:type="dxa"/>
            <w:tcBorders>
              <w:top w:val="single" w:color="auto" w:sz="6" w:space="0"/>
              <w:bottom w:val="single" w:color="auto" w:sz="6" w:space="0"/>
            </w:tcBorders>
            <w:vAlign w:val="center"/>
          </w:tcPr>
          <w:p w14:paraId="76813E02">
            <w:pPr>
              <w:tabs>
                <w:tab w:val="left" w:pos="1485"/>
              </w:tabs>
              <w:jc w:val="center"/>
              <w:rPr>
                <w:rFonts w:ascii="Arial" w:hAnsi="Arial" w:cs="Arial"/>
                <w:sz w:val="24"/>
              </w:rPr>
            </w:pPr>
          </w:p>
        </w:tc>
      </w:tr>
      <w:tr w14:paraId="3D54A12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0" w:hRule="atLeast"/>
          <w:jc w:val="center"/>
        </w:trPr>
        <w:tc>
          <w:tcPr>
            <w:tcW w:w="2041" w:type="dxa"/>
            <w:tcBorders>
              <w:top w:val="single" w:color="auto" w:sz="6" w:space="0"/>
              <w:bottom w:val="single" w:color="auto" w:sz="6" w:space="0"/>
            </w:tcBorders>
            <w:vAlign w:val="center"/>
          </w:tcPr>
          <w:p w14:paraId="34D46A99">
            <w:pPr>
              <w:jc w:val="center"/>
              <w:rPr>
                <w:rFonts w:ascii="宋体" w:hAnsi="宋体"/>
                <w:b/>
                <w:sz w:val="24"/>
              </w:rPr>
            </w:pPr>
            <w:r>
              <w:rPr>
                <w:rFonts w:hint="eastAsia" w:ascii="宋体" w:hAnsi="宋体"/>
                <w:b/>
                <w:sz w:val="24"/>
              </w:rPr>
              <w:t>版本/修订状态</w:t>
            </w:r>
          </w:p>
        </w:tc>
        <w:tc>
          <w:tcPr>
            <w:tcW w:w="2041" w:type="dxa"/>
            <w:gridSpan w:val="3"/>
            <w:tcBorders>
              <w:top w:val="single" w:color="auto" w:sz="6" w:space="0"/>
              <w:bottom w:val="single" w:color="auto" w:sz="6" w:space="0"/>
            </w:tcBorders>
            <w:vAlign w:val="center"/>
          </w:tcPr>
          <w:p w14:paraId="64818192">
            <w:pPr>
              <w:jc w:val="center"/>
              <w:rPr>
                <w:rFonts w:ascii="宋体" w:hAnsi="宋体"/>
                <w:b/>
                <w:sz w:val="24"/>
              </w:rPr>
            </w:pPr>
            <w:r>
              <w:rPr>
                <w:rFonts w:hint="eastAsia" w:ascii="宋体" w:hAnsi="宋体"/>
                <w:b/>
                <w:sz w:val="24"/>
              </w:rPr>
              <w:t>生效日期</w:t>
            </w:r>
          </w:p>
        </w:tc>
        <w:tc>
          <w:tcPr>
            <w:tcW w:w="2041" w:type="dxa"/>
            <w:gridSpan w:val="3"/>
            <w:tcBorders>
              <w:top w:val="single" w:color="auto" w:sz="6" w:space="0"/>
              <w:bottom w:val="single" w:color="auto" w:sz="6" w:space="0"/>
            </w:tcBorders>
            <w:vAlign w:val="center"/>
          </w:tcPr>
          <w:p w14:paraId="795EC8E2">
            <w:pPr>
              <w:jc w:val="center"/>
              <w:rPr>
                <w:rFonts w:ascii="宋体" w:hAnsi="宋体"/>
                <w:b/>
                <w:sz w:val="24"/>
              </w:rPr>
            </w:pPr>
            <w:r>
              <w:rPr>
                <w:rFonts w:hint="eastAsia" w:ascii="宋体" w:hAnsi="宋体"/>
                <w:b/>
                <w:sz w:val="24"/>
              </w:rPr>
              <w:t>批   准</w:t>
            </w:r>
          </w:p>
        </w:tc>
        <w:tc>
          <w:tcPr>
            <w:tcW w:w="2041" w:type="dxa"/>
            <w:tcBorders>
              <w:top w:val="single" w:color="auto" w:sz="6" w:space="0"/>
              <w:bottom w:val="single" w:color="auto" w:sz="6" w:space="0"/>
            </w:tcBorders>
            <w:vAlign w:val="center"/>
          </w:tcPr>
          <w:p w14:paraId="63111A4F">
            <w:pPr>
              <w:jc w:val="center"/>
              <w:rPr>
                <w:rFonts w:ascii="宋体" w:hAnsi="宋体"/>
                <w:b/>
                <w:sz w:val="24"/>
              </w:rPr>
            </w:pPr>
            <w:r>
              <w:rPr>
                <w:rFonts w:hint="eastAsia" w:ascii="宋体" w:hAnsi="宋体"/>
                <w:b/>
                <w:sz w:val="24"/>
              </w:rPr>
              <w:t>审   核</w:t>
            </w:r>
          </w:p>
        </w:tc>
        <w:tc>
          <w:tcPr>
            <w:tcW w:w="2042" w:type="dxa"/>
            <w:gridSpan w:val="4"/>
            <w:tcBorders>
              <w:top w:val="single" w:color="auto" w:sz="6" w:space="0"/>
              <w:bottom w:val="single" w:color="auto" w:sz="6" w:space="0"/>
            </w:tcBorders>
            <w:vAlign w:val="center"/>
          </w:tcPr>
          <w:p w14:paraId="384CC381">
            <w:pPr>
              <w:jc w:val="center"/>
              <w:rPr>
                <w:rFonts w:ascii="宋体" w:hAnsi="宋体"/>
                <w:b/>
                <w:sz w:val="24"/>
              </w:rPr>
            </w:pPr>
            <w:r>
              <w:rPr>
                <w:rFonts w:hint="eastAsia" w:ascii="宋体" w:hAnsi="宋体"/>
                <w:b/>
                <w:sz w:val="24"/>
              </w:rPr>
              <w:t>编   制</w:t>
            </w:r>
          </w:p>
        </w:tc>
      </w:tr>
      <w:tr w14:paraId="0D62346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0" w:hRule="atLeast"/>
          <w:jc w:val="center"/>
        </w:trPr>
        <w:tc>
          <w:tcPr>
            <w:tcW w:w="2041" w:type="dxa"/>
            <w:tcBorders>
              <w:top w:val="single" w:color="auto" w:sz="6" w:space="0"/>
              <w:bottom w:val="single" w:color="auto" w:sz="6" w:space="0"/>
            </w:tcBorders>
            <w:vAlign w:val="center"/>
          </w:tcPr>
          <w:p w14:paraId="7F87DAFC">
            <w:pPr>
              <w:tabs>
                <w:tab w:val="left" w:pos="1485"/>
              </w:tabs>
              <w:jc w:val="center"/>
              <w:rPr>
                <w:rFonts w:ascii="Arial" w:hAnsi="Arial" w:cs="Arial"/>
                <w:sz w:val="24"/>
              </w:rPr>
            </w:pPr>
            <w:r>
              <w:rPr>
                <w:rFonts w:hint="eastAsia" w:ascii="Arial" w:hAnsi="Arial" w:cs="Arial"/>
                <w:sz w:val="24"/>
              </w:rPr>
              <w:t>A</w:t>
            </w:r>
            <w:r>
              <w:rPr>
                <w:rFonts w:ascii="Arial" w:hAnsi="Arial" w:cs="Arial"/>
                <w:sz w:val="24"/>
              </w:rPr>
              <w:t>0</w:t>
            </w:r>
          </w:p>
        </w:tc>
        <w:tc>
          <w:tcPr>
            <w:tcW w:w="2041" w:type="dxa"/>
            <w:gridSpan w:val="3"/>
            <w:tcBorders>
              <w:top w:val="single" w:color="auto" w:sz="6" w:space="0"/>
              <w:bottom w:val="single" w:color="auto" w:sz="6" w:space="0"/>
            </w:tcBorders>
            <w:vAlign w:val="center"/>
          </w:tcPr>
          <w:p w14:paraId="6F9C1259">
            <w:pPr>
              <w:tabs>
                <w:tab w:val="left" w:pos="1485"/>
              </w:tabs>
              <w:jc w:val="center"/>
              <w:rPr>
                <w:rFonts w:ascii="Arial" w:hAnsi="Arial" w:cs="Arial"/>
                <w:sz w:val="24"/>
              </w:rPr>
            </w:pPr>
            <w:r>
              <w:rPr>
                <w:rFonts w:hint="eastAsia" w:ascii="Arial" w:hAnsi="Arial" w:cs="Arial"/>
                <w:sz w:val="24"/>
              </w:rPr>
              <w:t>2</w:t>
            </w:r>
            <w:r>
              <w:rPr>
                <w:rFonts w:ascii="Arial" w:hAnsi="Arial" w:cs="Arial"/>
                <w:sz w:val="24"/>
              </w:rPr>
              <w:t>024.1.1</w:t>
            </w:r>
          </w:p>
        </w:tc>
        <w:tc>
          <w:tcPr>
            <w:tcW w:w="2041" w:type="dxa"/>
            <w:gridSpan w:val="3"/>
            <w:tcBorders>
              <w:top w:val="single" w:color="auto" w:sz="6" w:space="0"/>
              <w:bottom w:val="single" w:color="auto" w:sz="6" w:space="0"/>
            </w:tcBorders>
            <w:vAlign w:val="center"/>
          </w:tcPr>
          <w:p w14:paraId="2AAA4DC7">
            <w:pPr>
              <w:tabs>
                <w:tab w:val="left" w:pos="1485"/>
              </w:tabs>
              <w:jc w:val="center"/>
              <w:rPr>
                <w:rFonts w:ascii="Arial" w:hAnsi="Arial" w:cs="Arial"/>
                <w:sz w:val="24"/>
              </w:rPr>
            </w:pPr>
            <w:r>
              <w:drawing>
                <wp:anchor distT="0" distB="0" distL="114300" distR="114300" simplePos="0" relativeHeight="251659264" behindDoc="1" locked="0" layoutInCell="1" allowOverlap="1">
                  <wp:simplePos x="0" y="0"/>
                  <wp:positionH relativeFrom="column">
                    <wp:posOffset>30480</wp:posOffset>
                  </wp:positionH>
                  <wp:positionV relativeFrom="paragraph">
                    <wp:posOffset>310515</wp:posOffset>
                  </wp:positionV>
                  <wp:extent cx="1094740" cy="308610"/>
                  <wp:effectExtent l="0" t="0" r="2540" b="11430"/>
                  <wp:wrapTight wrapText="bothSides">
                    <wp:wrapPolygon>
                      <wp:start x="0" y="0"/>
                      <wp:lineTo x="0" y="20267"/>
                      <wp:lineTo x="21349" y="20267"/>
                      <wp:lineTo x="21349" y="0"/>
                      <wp:lineTo x="0" y="0"/>
                    </wp:wrapPolygon>
                  </wp:wrapTight>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6"/>
                          <a:stretch>
                            <a:fillRect/>
                          </a:stretch>
                        </pic:blipFill>
                        <pic:spPr>
                          <a:xfrm>
                            <a:off x="0" y="0"/>
                            <a:ext cx="1094740" cy="308610"/>
                          </a:xfrm>
                          <a:prstGeom prst="rect">
                            <a:avLst/>
                          </a:prstGeom>
                          <a:noFill/>
                          <a:ln>
                            <a:noFill/>
                          </a:ln>
                        </pic:spPr>
                      </pic:pic>
                    </a:graphicData>
                  </a:graphic>
                </wp:anchor>
              </w:drawing>
            </w:r>
          </w:p>
          <w:p w14:paraId="5941AC3F">
            <w:pPr>
              <w:tabs>
                <w:tab w:val="left" w:pos="1485"/>
              </w:tabs>
              <w:jc w:val="center"/>
              <w:rPr>
                <w:rFonts w:ascii="Arial" w:hAnsi="Arial" w:cs="Arial"/>
                <w:sz w:val="24"/>
              </w:rPr>
            </w:pPr>
          </w:p>
        </w:tc>
        <w:tc>
          <w:tcPr>
            <w:tcW w:w="2041" w:type="dxa"/>
            <w:tcBorders>
              <w:top w:val="single" w:color="auto" w:sz="6" w:space="0"/>
              <w:bottom w:val="single" w:color="auto" w:sz="6" w:space="0"/>
            </w:tcBorders>
            <w:vAlign w:val="center"/>
          </w:tcPr>
          <w:p w14:paraId="77D6DA29">
            <w:pPr>
              <w:tabs>
                <w:tab w:val="left" w:pos="1485"/>
              </w:tabs>
              <w:jc w:val="center"/>
              <w:rPr>
                <w:rFonts w:hint="default" w:ascii="Arial" w:hAnsi="Arial" w:eastAsia="宋体" w:cs="Arial"/>
                <w:sz w:val="24"/>
                <w:lang w:val="en-US" w:eastAsia="zh-CN"/>
              </w:rPr>
            </w:pPr>
            <w:r>
              <w:rPr>
                <w:rFonts w:hint="eastAsia" w:ascii="Arial" w:hAnsi="Arial" w:cs="Arial"/>
                <w:sz w:val="24"/>
                <w:lang w:val="en-US" w:eastAsia="zh-CN"/>
              </w:rPr>
              <w:t>刘玉龙</w:t>
            </w:r>
          </w:p>
        </w:tc>
        <w:tc>
          <w:tcPr>
            <w:tcW w:w="2042" w:type="dxa"/>
            <w:gridSpan w:val="4"/>
            <w:tcBorders>
              <w:top w:val="single" w:color="auto" w:sz="6" w:space="0"/>
              <w:bottom w:val="single" w:color="auto" w:sz="6" w:space="0"/>
            </w:tcBorders>
            <w:vAlign w:val="center"/>
          </w:tcPr>
          <w:p w14:paraId="3B23804A">
            <w:pPr>
              <w:tabs>
                <w:tab w:val="left" w:pos="1485"/>
              </w:tabs>
              <w:jc w:val="center"/>
              <w:rPr>
                <w:rFonts w:hint="eastAsia" w:ascii="Arial" w:hAnsi="Arial" w:eastAsia="宋体" w:cs="Arial"/>
                <w:sz w:val="24"/>
                <w:lang w:eastAsia="zh-CN"/>
              </w:rPr>
            </w:pPr>
            <w:r>
              <w:rPr>
                <w:rFonts w:hint="eastAsia" w:ascii="Arial" w:hAnsi="Arial" w:cs="Arial"/>
                <w:sz w:val="24"/>
                <w:lang w:val="en-US" w:eastAsia="zh-CN"/>
              </w:rPr>
              <w:t>吴敏莹</w:t>
            </w:r>
          </w:p>
        </w:tc>
      </w:tr>
    </w:tbl>
    <w:p w14:paraId="0154791A">
      <w:pPr>
        <w:spacing w:line="20" w:lineRule="exact"/>
      </w:pPr>
    </w:p>
    <w:p w14:paraId="7DE7FCE3">
      <w:pPr>
        <w:spacing w:line="20" w:lineRule="exact"/>
      </w:pPr>
    </w:p>
    <w:sectPr>
      <w:headerReference r:id="rId3" w:type="default"/>
      <w:footerReference r:id="rId4" w:type="default"/>
      <w:pgSz w:w="11906" w:h="16838"/>
      <w:pgMar w:top="1418" w:right="851" w:bottom="1134" w:left="851" w:header="567" w:footer="56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DF3DE3">
    <w:pPr>
      <w:pStyle w:val="5"/>
      <w:wordWrap w:val="0"/>
      <w:jc w:val="right"/>
    </w:pPr>
    <w:r>
      <w:rPr>
        <w:rFonts w:hint="eastAsia"/>
      </w:rPr>
      <w:t xml:space="preserve">                                           第</w:t>
    </w:r>
    <w:r>
      <w:fldChar w:fldCharType="begin"/>
    </w:r>
    <w:r>
      <w:instrText xml:space="preserve"> PAGE   \* MERGEFORMAT </w:instrText>
    </w:r>
    <w:r>
      <w:fldChar w:fldCharType="separate"/>
    </w:r>
    <w:r>
      <w:rPr>
        <w:lang w:val="zh-CN"/>
      </w:rPr>
      <w:t>2</w:t>
    </w:r>
    <w:r>
      <w:fldChar w:fldCharType="end"/>
    </w:r>
    <w:r>
      <w:rPr>
        <w:rFonts w:hint="eastAsia"/>
      </w:rPr>
      <w:t>页，共2页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5C2026">
    <w:pPr>
      <w:pStyle w:val="6"/>
      <w:pBdr>
        <w:bottom w:val="single" w:color="auto" w:sz="6" w:space="0"/>
      </w:pBdr>
      <w:jc w:val="right"/>
    </w:pPr>
  </w:p>
  <w:p w14:paraId="69F49FBE">
    <w:pPr>
      <w:pStyle w:val="6"/>
      <w:pBdr>
        <w:bottom w:val="single" w:color="auto" w:sz="6" w:space="0"/>
      </w:pBdr>
    </w:pPr>
    <w:r>
      <w:rPr>
        <w:rFonts w:hint="eastAsia"/>
        <w:sz w:val="21"/>
        <w:szCs w:val="21"/>
      </w:rPr>
      <w:drawing>
        <wp:anchor distT="0" distB="0" distL="114300" distR="114300" simplePos="0" relativeHeight="251660288" behindDoc="0" locked="0" layoutInCell="1" allowOverlap="1">
          <wp:simplePos x="0" y="0"/>
          <wp:positionH relativeFrom="column">
            <wp:posOffset>-38735</wp:posOffset>
          </wp:positionH>
          <wp:positionV relativeFrom="paragraph">
            <wp:posOffset>28575</wp:posOffset>
          </wp:positionV>
          <wp:extent cx="721995" cy="194945"/>
          <wp:effectExtent l="0" t="0" r="1905" b="14605"/>
          <wp:wrapNone/>
          <wp:docPr id="3" name="图片 3" descr="（新）隆达铝业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新）隆达铝业logo"/>
                  <pic:cNvPicPr>
                    <a:picLocks noChangeAspect="1"/>
                  </pic:cNvPicPr>
                </pic:nvPicPr>
                <pic:blipFill>
                  <a:blip r:embed="rId1"/>
                  <a:stretch>
                    <a:fillRect/>
                  </a:stretch>
                </pic:blipFill>
                <pic:spPr>
                  <a:xfrm>
                    <a:off x="0" y="0"/>
                    <a:ext cx="721995" cy="194945"/>
                  </a:xfrm>
                  <a:prstGeom prst="rect">
                    <a:avLst/>
                  </a:prstGeom>
                </pic:spPr>
              </pic:pic>
            </a:graphicData>
          </a:graphic>
        </wp:anchor>
      </w:drawing>
    </w:r>
    <w:r>
      <w:rPr>
        <w:rFonts w:hint="eastAsia"/>
      </w:rPr>
      <w:t>广东隆达铝业有限公司</w:t>
    </w:r>
  </w:p>
  <w:tbl>
    <w:tblPr>
      <w:tblStyle w:val="7"/>
      <w:tblW w:w="10206" w:type="dxa"/>
      <w:tblInd w:w="108" w:type="dxa"/>
      <w:tblBorders>
        <w:top w:val="none" w:color="auto" w:sz="0" w:space="0"/>
        <w:left w:val="none" w:color="auto" w:sz="0" w:space="0"/>
        <w:bottom w:val="single" w:color="auto"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0206"/>
    </w:tblGrid>
    <w:tr w14:paraId="24F41344">
      <w:tblPrEx>
        <w:tblBorders>
          <w:top w:val="none" w:color="auto" w:sz="0" w:space="0"/>
          <w:left w:val="none" w:color="auto" w:sz="0" w:space="0"/>
          <w:bottom w:val="single" w:color="auto"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3" w:hRule="atLeast"/>
      </w:trPr>
      <w:tc>
        <w:tcPr>
          <w:tcW w:w="10206" w:type="dxa"/>
          <w:vAlign w:val="center"/>
        </w:tcPr>
        <w:p w14:paraId="40AFFA19">
          <w:pPr>
            <w:spacing w:before="93" w:beforeLines="30" w:line="480" w:lineRule="exact"/>
            <w:jc w:val="center"/>
            <w:rPr>
              <w:rFonts w:hint="default" w:ascii="黑体" w:eastAsia="黑体"/>
              <w:b/>
              <w:sz w:val="28"/>
              <w:szCs w:val="28"/>
              <w:highlight w:val="none"/>
              <w:lang w:val="en-US" w:eastAsia="zh-CN"/>
            </w:rPr>
          </w:pPr>
          <w:r>
            <w:rPr>
              <w:rFonts w:hint="eastAsia" w:ascii="黑体" w:eastAsia="黑体"/>
              <w:b/>
              <w:sz w:val="28"/>
              <w:szCs w:val="28"/>
              <w:highlight w:val="none"/>
              <w:lang w:val="en-US" w:eastAsia="zh-CN"/>
            </w:rPr>
            <w:t>重新安置管理规定</w:t>
          </w:r>
        </w:p>
        <w:p w14:paraId="3413D989">
          <w:pPr>
            <w:jc w:val="left"/>
            <w:rPr>
              <w:rFonts w:ascii="Arial" w:hAnsi="Arial" w:cs="Arial"/>
              <w:b/>
              <w:sz w:val="24"/>
            </w:rPr>
          </w:pPr>
          <w:r>
            <w:rPr>
              <w:rFonts w:hint="eastAsia" w:ascii="Arial" w:hAnsi="Arial" w:cs="Arial"/>
              <w:b/>
              <w:sz w:val="24"/>
            </w:rPr>
            <w:t>文件编号：</w:t>
          </w:r>
          <w:r>
            <w:rPr>
              <w:rFonts w:ascii="Arial" w:hAnsi="Arial" w:cs="Arial"/>
              <w:b/>
              <w:sz w:val="24"/>
            </w:rPr>
            <w:t>A/GDLD-ASG-G</w:t>
          </w:r>
          <w:r>
            <w:rPr>
              <w:rFonts w:hint="eastAsia" w:ascii="Arial" w:hAnsi="Arial" w:cs="Arial"/>
              <w:b/>
              <w:sz w:val="24"/>
              <w:lang w:val="en-US" w:eastAsia="zh-CN"/>
            </w:rPr>
            <w:t>06</w:t>
          </w:r>
          <w:r>
            <w:rPr>
              <w:rFonts w:hint="eastAsia" w:ascii="Arial" w:hAnsi="Arial" w:cs="Arial"/>
              <w:b/>
              <w:sz w:val="24"/>
            </w:rPr>
            <w:t xml:space="preserve">                                           版本号：</w:t>
          </w:r>
          <w:r>
            <w:rPr>
              <w:rFonts w:ascii="Arial" w:hAnsi="Arial" w:cs="Arial"/>
              <w:b/>
              <w:sz w:val="24"/>
            </w:rPr>
            <w:t>A</w:t>
          </w:r>
          <w:r>
            <w:rPr>
              <w:rFonts w:hint="eastAsia" w:ascii="Arial" w:hAnsi="Arial" w:cs="Arial"/>
              <w:b/>
              <w:sz w:val="24"/>
            </w:rPr>
            <w:t>/0</w:t>
          </w:r>
        </w:p>
      </w:tc>
    </w:tr>
  </w:tbl>
  <w:p w14:paraId="787E7BF8">
    <w:pPr>
      <w:tabs>
        <w:tab w:val="left" w:pos="795"/>
        <w:tab w:val="right" w:pos="9921"/>
      </w:tabs>
      <w:spacing w:line="14" w:lineRule="exact"/>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25EFFF"/>
    <w:multiLevelType w:val="singleLevel"/>
    <w:tmpl w:val="DE25EFFF"/>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VmYjM2MjZhYWQxNDkxYWRkNzk2M2Y1MjlkOGViMGEifQ=="/>
  </w:docVars>
  <w:rsids>
    <w:rsidRoot w:val="00B4784A"/>
    <w:rsid w:val="00000B86"/>
    <w:rsid w:val="00001A5C"/>
    <w:rsid w:val="0001030C"/>
    <w:rsid w:val="00010D00"/>
    <w:rsid w:val="00015CE4"/>
    <w:rsid w:val="00021591"/>
    <w:rsid w:val="000218DD"/>
    <w:rsid w:val="00026B60"/>
    <w:rsid w:val="00027B50"/>
    <w:rsid w:val="00030674"/>
    <w:rsid w:val="00033693"/>
    <w:rsid w:val="00036F14"/>
    <w:rsid w:val="000375BC"/>
    <w:rsid w:val="0003779D"/>
    <w:rsid w:val="00037FF9"/>
    <w:rsid w:val="000408FD"/>
    <w:rsid w:val="0004314A"/>
    <w:rsid w:val="000442D6"/>
    <w:rsid w:val="00050A41"/>
    <w:rsid w:val="00051540"/>
    <w:rsid w:val="00052794"/>
    <w:rsid w:val="000533BA"/>
    <w:rsid w:val="00054C08"/>
    <w:rsid w:val="00056DF0"/>
    <w:rsid w:val="00060641"/>
    <w:rsid w:val="000618E8"/>
    <w:rsid w:val="000648CA"/>
    <w:rsid w:val="00065207"/>
    <w:rsid w:val="00065B90"/>
    <w:rsid w:val="000668A7"/>
    <w:rsid w:val="00067E95"/>
    <w:rsid w:val="00070011"/>
    <w:rsid w:val="00070F26"/>
    <w:rsid w:val="00087D37"/>
    <w:rsid w:val="0009577F"/>
    <w:rsid w:val="000A0444"/>
    <w:rsid w:val="000B4DFF"/>
    <w:rsid w:val="000C2CC0"/>
    <w:rsid w:val="000D355E"/>
    <w:rsid w:val="000E53D4"/>
    <w:rsid w:val="000E6B57"/>
    <w:rsid w:val="000E6DAA"/>
    <w:rsid w:val="000E78E6"/>
    <w:rsid w:val="000F06F7"/>
    <w:rsid w:val="000F2C50"/>
    <w:rsid w:val="000F4184"/>
    <w:rsid w:val="000F5994"/>
    <w:rsid w:val="000F6327"/>
    <w:rsid w:val="001000AE"/>
    <w:rsid w:val="00105FA2"/>
    <w:rsid w:val="0010643B"/>
    <w:rsid w:val="001132A1"/>
    <w:rsid w:val="00117EC4"/>
    <w:rsid w:val="00120241"/>
    <w:rsid w:val="001205AF"/>
    <w:rsid w:val="00120961"/>
    <w:rsid w:val="00125E38"/>
    <w:rsid w:val="00126D79"/>
    <w:rsid w:val="0013237C"/>
    <w:rsid w:val="00134208"/>
    <w:rsid w:val="00137C78"/>
    <w:rsid w:val="0014110E"/>
    <w:rsid w:val="001420F0"/>
    <w:rsid w:val="00151E9C"/>
    <w:rsid w:val="00154390"/>
    <w:rsid w:val="001561A0"/>
    <w:rsid w:val="001600BD"/>
    <w:rsid w:val="00171B97"/>
    <w:rsid w:val="0017225C"/>
    <w:rsid w:val="00172958"/>
    <w:rsid w:val="0017397F"/>
    <w:rsid w:val="00174303"/>
    <w:rsid w:val="001751A1"/>
    <w:rsid w:val="00175CE7"/>
    <w:rsid w:val="00177B77"/>
    <w:rsid w:val="001811D7"/>
    <w:rsid w:val="0018471A"/>
    <w:rsid w:val="001847EA"/>
    <w:rsid w:val="0019111D"/>
    <w:rsid w:val="001913D3"/>
    <w:rsid w:val="00193517"/>
    <w:rsid w:val="00194EF4"/>
    <w:rsid w:val="0019659F"/>
    <w:rsid w:val="001A4BC6"/>
    <w:rsid w:val="001A7A90"/>
    <w:rsid w:val="001A7B37"/>
    <w:rsid w:val="001B0B1C"/>
    <w:rsid w:val="001B209A"/>
    <w:rsid w:val="001B3792"/>
    <w:rsid w:val="001B6260"/>
    <w:rsid w:val="001B6702"/>
    <w:rsid w:val="001B7427"/>
    <w:rsid w:val="001C1DDD"/>
    <w:rsid w:val="001C2BE0"/>
    <w:rsid w:val="001C4437"/>
    <w:rsid w:val="001C5B09"/>
    <w:rsid w:val="001C75D1"/>
    <w:rsid w:val="001C7DE2"/>
    <w:rsid w:val="001D4F34"/>
    <w:rsid w:val="001D70F5"/>
    <w:rsid w:val="001E23A4"/>
    <w:rsid w:val="001E4CD7"/>
    <w:rsid w:val="001E549F"/>
    <w:rsid w:val="001E6587"/>
    <w:rsid w:val="001E690F"/>
    <w:rsid w:val="001E6FD7"/>
    <w:rsid w:val="001F5EDB"/>
    <w:rsid w:val="001F67A7"/>
    <w:rsid w:val="001F74EA"/>
    <w:rsid w:val="00205201"/>
    <w:rsid w:val="0022008C"/>
    <w:rsid w:val="00220A55"/>
    <w:rsid w:val="00223464"/>
    <w:rsid w:val="00225047"/>
    <w:rsid w:val="00225B88"/>
    <w:rsid w:val="0022656C"/>
    <w:rsid w:val="00226DD3"/>
    <w:rsid w:val="002330F2"/>
    <w:rsid w:val="002356D1"/>
    <w:rsid w:val="002372AC"/>
    <w:rsid w:val="00237356"/>
    <w:rsid w:val="0023796D"/>
    <w:rsid w:val="00243CA2"/>
    <w:rsid w:val="002445BC"/>
    <w:rsid w:val="002446E6"/>
    <w:rsid w:val="002511B1"/>
    <w:rsid w:val="00252847"/>
    <w:rsid w:val="0025695A"/>
    <w:rsid w:val="00266F35"/>
    <w:rsid w:val="00267120"/>
    <w:rsid w:val="00276777"/>
    <w:rsid w:val="002810D9"/>
    <w:rsid w:val="00281C59"/>
    <w:rsid w:val="00281F1A"/>
    <w:rsid w:val="002848FD"/>
    <w:rsid w:val="002910B8"/>
    <w:rsid w:val="00291390"/>
    <w:rsid w:val="00291BFF"/>
    <w:rsid w:val="002927B4"/>
    <w:rsid w:val="00295ABE"/>
    <w:rsid w:val="002A1067"/>
    <w:rsid w:val="002A19B0"/>
    <w:rsid w:val="002A530F"/>
    <w:rsid w:val="002B57DC"/>
    <w:rsid w:val="002B6CE3"/>
    <w:rsid w:val="002B6FCB"/>
    <w:rsid w:val="002C1F85"/>
    <w:rsid w:val="002C2C4E"/>
    <w:rsid w:val="002C5DC1"/>
    <w:rsid w:val="002C70FA"/>
    <w:rsid w:val="002D33D9"/>
    <w:rsid w:val="002D63E3"/>
    <w:rsid w:val="002E0C37"/>
    <w:rsid w:val="002E169A"/>
    <w:rsid w:val="002E17E3"/>
    <w:rsid w:val="002E29EF"/>
    <w:rsid w:val="002E4EEA"/>
    <w:rsid w:val="002E5D4D"/>
    <w:rsid w:val="002E6438"/>
    <w:rsid w:val="002E7AB8"/>
    <w:rsid w:val="002F166A"/>
    <w:rsid w:val="002F2ACF"/>
    <w:rsid w:val="002F6E09"/>
    <w:rsid w:val="0030078A"/>
    <w:rsid w:val="00301C11"/>
    <w:rsid w:val="00302C27"/>
    <w:rsid w:val="0030418B"/>
    <w:rsid w:val="00304918"/>
    <w:rsid w:val="00310780"/>
    <w:rsid w:val="00312500"/>
    <w:rsid w:val="00314024"/>
    <w:rsid w:val="00315EDD"/>
    <w:rsid w:val="00316653"/>
    <w:rsid w:val="003233C4"/>
    <w:rsid w:val="00323787"/>
    <w:rsid w:val="00325C0C"/>
    <w:rsid w:val="00326DBB"/>
    <w:rsid w:val="003320A8"/>
    <w:rsid w:val="0033474A"/>
    <w:rsid w:val="00335B51"/>
    <w:rsid w:val="0033663C"/>
    <w:rsid w:val="003567F1"/>
    <w:rsid w:val="00356AC4"/>
    <w:rsid w:val="00362FBE"/>
    <w:rsid w:val="00371036"/>
    <w:rsid w:val="00373043"/>
    <w:rsid w:val="00373722"/>
    <w:rsid w:val="00373C22"/>
    <w:rsid w:val="00376643"/>
    <w:rsid w:val="0038031B"/>
    <w:rsid w:val="00381D85"/>
    <w:rsid w:val="00392893"/>
    <w:rsid w:val="00392C6B"/>
    <w:rsid w:val="00392D3A"/>
    <w:rsid w:val="00393B7C"/>
    <w:rsid w:val="003A07CD"/>
    <w:rsid w:val="003A7BC6"/>
    <w:rsid w:val="003B000B"/>
    <w:rsid w:val="003B14CF"/>
    <w:rsid w:val="003B3086"/>
    <w:rsid w:val="003B685F"/>
    <w:rsid w:val="003C00F8"/>
    <w:rsid w:val="003C010B"/>
    <w:rsid w:val="003C1E75"/>
    <w:rsid w:val="003C2D1E"/>
    <w:rsid w:val="003C3D9F"/>
    <w:rsid w:val="003C4092"/>
    <w:rsid w:val="003C6D9B"/>
    <w:rsid w:val="003D455E"/>
    <w:rsid w:val="003D4CE6"/>
    <w:rsid w:val="003E31A1"/>
    <w:rsid w:val="003E416B"/>
    <w:rsid w:val="003F09D5"/>
    <w:rsid w:val="003F1832"/>
    <w:rsid w:val="003F37CE"/>
    <w:rsid w:val="003F3D5D"/>
    <w:rsid w:val="003F580E"/>
    <w:rsid w:val="003F5FBD"/>
    <w:rsid w:val="003F676D"/>
    <w:rsid w:val="004010E5"/>
    <w:rsid w:val="004032CF"/>
    <w:rsid w:val="0040684C"/>
    <w:rsid w:val="00413F45"/>
    <w:rsid w:val="00414E6C"/>
    <w:rsid w:val="00415ABB"/>
    <w:rsid w:val="00415CC2"/>
    <w:rsid w:val="00425072"/>
    <w:rsid w:val="0042590A"/>
    <w:rsid w:val="00426898"/>
    <w:rsid w:val="0043063D"/>
    <w:rsid w:val="0043082C"/>
    <w:rsid w:val="00431ECA"/>
    <w:rsid w:val="00434445"/>
    <w:rsid w:val="0043495C"/>
    <w:rsid w:val="004365FB"/>
    <w:rsid w:val="004402FA"/>
    <w:rsid w:val="00441C0D"/>
    <w:rsid w:val="00444C51"/>
    <w:rsid w:val="00450DAF"/>
    <w:rsid w:val="0046125C"/>
    <w:rsid w:val="00462F56"/>
    <w:rsid w:val="004658EB"/>
    <w:rsid w:val="0046783A"/>
    <w:rsid w:val="004743A6"/>
    <w:rsid w:val="00475216"/>
    <w:rsid w:val="004811DC"/>
    <w:rsid w:val="00481AEC"/>
    <w:rsid w:val="0048409D"/>
    <w:rsid w:val="00485071"/>
    <w:rsid w:val="004857B6"/>
    <w:rsid w:val="004879BF"/>
    <w:rsid w:val="00487CEA"/>
    <w:rsid w:val="00491AEF"/>
    <w:rsid w:val="00493152"/>
    <w:rsid w:val="00494953"/>
    <w:rsid w:val="00496F63"/>
    <w:rsid w:val="00496FC4"/>
    <w:rsid w:val="004A184E"/>
    <w:rsid w:val="004A1F11"/>
    <w:rsid w:val="004A6430"/>
    <w:rsid w:val="004A7502"/>
    <w:rsid w:val="004B123C"/>
    <w:rsid w:val="004B1638"/>
    <w:rsid w:val="004B4761"/>
    <w:rsid w:val="004B6993"/>
    <w:rsid w:val="004C2595"/>
    <w:rsid w:val="004C3521"/>
    <w:rsid w:val="004D3A7E"/>
    <w:rsid w:val="004D486B"/>
    <w:rsid w:val="004D5F6B"/>
    <w:rsid w:val="004E00C3"/>
    <w:rsid w:val="004E4590"/>
    <w:rsid w:val="004E48A7"/>
    <w:rsid w:val="004E6DCF"/>
    <w:rsid w:val="004F4734"/>
    <w:rsid w:val="004F6342"/>
    <w:rsid w:val="004F647E"/>
    <w:rsid w:val="004F6F8A"/>
    <w:rsid w:val="004F7651"/>
    <w:rsid w:val="005001CD"/>
    <w:rsid w:val="00507F21"/>
    <w:rsid w:val="005112B7"/>
    <w:rsid w:val="00514E0D"/>
    <w:rsid w:val="00517370"/>
    <w:rsid w:val="005177C2"/>
    <w:rsid w:val="00522791"/>
    <w:rsid w:val="00522DFA"/>
    <w:rsid w:val="00525284"/>
    <w:rsid w:val="00541E90"/>
    <w:rsid w:val="00542D41"/>
    <w:rsid w:val="00546284"/>
    <w:rsid w:val="005523E6"/>
    <w:rsid w:val="00554D6C"/>
    <w:rsid w:val="00561A47"/>
    <w:rsid w:val="00562277"/>
    <w:rsid w:val="00563248"/>
    <w:rsid w:val="005647FD"/>
    <w:rsid w:val="00567274"/>
    <w:rsid w:val="005703D9"/>
    <w:rsid w:val="0057338E"/>
    <w:rsid w:val="0057673A"/>
    <w:rsid w:val="00580722"/>
    <w:rsid w:val="00583713"/>
    <w:rsid w:val="005838C9"/>
    <w:rsid w:val="005838D1"/>
    <w:rsid w:val="0058711B"/>
    <w:rsid w:val="00590B3C"/>
    <w:rsid w:val="00592A5A"/>
    <w:rsid w:val="00592D92"/>
    <w:rsid w:val="005953DA"/>
    <w:rsid w:val="00597469"/>
    <w:rsid w:val="005A12D0"/>
    <w:rsid w:val="005B0311"/>
    <w:rsid w:val="005D2925"/>
    <w:rsid w:val="005D6852"/>
    <w:rsid w:val="005E65D9"/>
    <w:rsid w:val="005E6B7E"/>
    <w:rsid w:val="005F22C3"/>
    <w:rsid w:val="005F5A60"/>
    <w:rsid w:val="005F7B26"/>
    <w:rsid w:val="00600A55"/>
    <w:rsid w:val="006017E6"/>
    <w:rsid w:val="00624AF9"/>
    <w:rsid w:val="006336E2"/>
    <w:rsid w:val="00633729"/>
    <w:rsid w:val="00633954"/>
    <w:rsid w:val="0063510C"/>
    <w:rsid w:val="00645015"/>
    <w:rsid w:val="00647C93"/>
    <w:rsid w:val="006548CD"/>
    <w:rsid w:val="00654B21"/>
    <w:rsid w:val="00654CD7"/>
    <w:rsid w:val="006555C6"/>
    <w:rsid w:val="00661583"/>
    <w:rsid w:val="00664C3B"/>
    <w:rsid w:val="00673F33"/>
    <w:rsid w:val="00681D4F"/>
    <w:rsid w:val="00685C5D"/>
    <w:rsid w:val="00686EE6"/>
    <w:rsid w:val="0068709C"/>
    <w:rsid w:val="00687553"/>
    <w:rsid w:val="00692153"/>
    <w:rsid w:val="006924DA"/>
    <w:rsid w:val="00692AE9"/>
    <w:rsid w:val="006A017F"/>
    <w:rsid w:val="006A6387"/>
    <w:rsid w:val="006A7747"/>
    <w:rsid w:val="006B2353"/>
    <w:rsid w:val="006B24EF"/>
    <w:rsid w:val="006B349F"/>
    <w:rsid w:val="006B4DAE"/>
    <w:rsid w:val="006B544E"/>
    <w:rsid w:val="006B6622"/>
    <w:rsid w:val="006C14E7"/>
    <w:rsid w:val="006C24BD"/>
    <w:rsid w:val="006D1E92"/>
    <w:rsid w:val="006D35C9"/>
    <w:rsid w:val="006D4AD7"/>
    <w:rsid w:val="006E27FB"/>
    <w:rsid w:val="006E52D3"/>
    <w:rsid w:val="006E6DB4"/>
    <w:rsid w:val="006F3C74"/>
    <w:rsid w:val="006F44A2"/>
    <w:rsid w:val="00705344"/>
    <w:rsid w:val="0071106B"/>
    <w:rsid w:val="00715E40"/>
    <w:rsid w:val="007162C1"/>
    <w:rsid w:val="00717350"/>
    <w:rsid w:val="00721760"/>
    <w:rsid w:val="0072396C"/>
    <w:rsid w:val="00730925"/>
    <w:rsid w:val="00732B77"/>
    <w:rsid w:val="00734026"/>
    <w:rsid w:val="00735A1A"/>
    <w:rsid w:val="00736E48"/>
    <w:rsid w:val="0074076E"/>
    <w:rsid w:val="00740D80"/>
    <w:rsid w:val="00750E20"/>
    <w:rsid w:val="00752D70"/>
    <w:rsid w:val="00753907"/>
    <w:rsid w:val="00754621"/>
    <w:rsid w:val="00756830"/>
    <w:rsid w:val="00757669"/>
    <w:rsid w:val="007630AD"/>
    <w:rsid w:val="007658E4"/>
    <w:rsid w:val="00767C73"/>
    <w:rsid w:val="00771D66"/>
    <w:rsid w:val="00773174"/>
    <w:rsid w:val="0077447A"/>
    <w:rsid w:val="007862CD"/>
    <w:rsid w:val="00796BB0"/>
    <w:rsid w:val="007A258A"/>
    <w:rsid w:val="007A34B7"/>
    <w:rsid w:val="007A59B4"/>
    <w:rsid w:val="007A63D8"/>
    <w:rsid w:val="007B3E4B"/>
    <w:rsid w:val="007B5072"/>
    <w:rsid w:val="007B513D"/>
    <w:rsid w:val="007B62EE"/>
    <w:rsid w:val="007B7E6C"/>
    <w:rsid w:val="007C19E9"/>
    <w:rsid w:val="007C2BC0"/>
    <w:rsid w:val="007D24F1"/>
    <w:rsid w:val="007E4284"/>
    <w:rsid w:val="007E43D1"/>
    <w:rsid w:val="007E5555"/>
    <w:rsid w:val="007E665B"/>
    <w:rsid w:val="007F105D"/>
    <w:rsid w:val="007F23F3"/>
    <w:rsid w:val="007F34BD"/>
    <w:rsid w:val="007F3CB0"/>
    <w:rsid w:val="007F3CE3"/>
    <w:rsid w:val="007F46B9"/>
    <w:rsid w:val="008019FA"/>
    <w:rsid w:val="00804AFE"/>
    <w:rsid w:val="0080529A"/>
    <w:rsid w:val="008054AE"/>
    <w:rsid w:val="00810E44"/>
    <w:rsid w:val="00813AD0"/>
    <w:rsid w:val="008142A6"/>
    <w:rsid w:val="00815946"/>
    <w:rsid w:val="0082144C"/>
    <w:rsid w:val="00826AAA"/>
    <w:rsid w:val="008274C2"/>
    <w:rsid w:val="00830A68"/>
    <w:rsid w:val="00836CE9"/>
    <w:rsid w:val="008414A3"/>
    <w:rsid w:val="00841DC8"/>
    <w:rsid w:val="00846215"/>
    <w:rsid w:val="00855AD1"/>
    <w:rsid w:val="0086090D"/>
    <w:rsid w:val="00860C5E"/>
    <w:rsid w:val="008613B9"/>
    <w:rsid w:val="008631B7"/>
    <w:rsid w:val="00865882"/>
    <w:rsid w:val="00865D2C"/>
    <w:rsid w:val="00867934"/>
    <w:rsid w:val="00867AB8"/>
    <w:rsid w:val="00871614"/>
    <w:rsid w:val="00880061"/>
    <w:rsid w:val="00882351"/>
    <w:rsid w:val="00883799"/>
    <w:rsid w:val="00885F40"/>
    <w:rsid w:val="00893BE4"/>
    <w:rsid w:val="008942C3"/>
    <w:rsid w:val="008969F5"/>
    <w:rsid w:val="008A4EE9"/>
    <w:rsid w:val="008A768C"/>
    <w:rsid w:val="008C2DF1"/>
    <w:rsid w:val="008D0958"/>
    <w:rsid w:val="008D3CA4"/>
    <w:rsid w:val="008D4ED6"/>
    <w:rsid w:val="008D75C7"/>
    <w:rsid w:val="008E0D9E"/>
    <w:rsid w:val="008E157F"/>
    <w:rsid w:val="008E4E73"/>
    <w:rsid w:val="008E789A"/>
    <w:rsid w:val="008E7B4A"/>
    <w:rsid w:val="008F4FF5"/>
    <w:rsid w:val="008F529B"/>
    <w:rsid w:val="008F5614"/>
    <w:rsid w:val="00902402"/>
    <w:rsid w:val="0090310E"/>
    <w:rsid w:val="00904F19"/>
    <w:rsid w:val="00905651"/>
    <w:rsid w:val="00905CA8"/>
    <w:rsid w:val="00911C5C"/>
    <w:rsid w:val="0091518E"/>
    <w:rsid w:val="009166DB"/>
    <w:rsid w:val="009269AE"/>
    <w:rsid w:val="0092750A"/>
    <w:rsid w:val="00930EB1"/>
    <w:rsid w:val="00932951"/>
    <w:rsid w:val="009340E6"/>
    <w:rsid w:val="00941F52"/>
    <w:rsid w:val="00945583"/>
    <w:rsid w:val="009456F8"/>
    <w:rsid w:val="00947A47"/>
    <w:rsid w:val="00951F36"/>
    <w:rsid w:val="009532C2"/>
    <w:rsid w:val="009541F9"/>
    <w:rsid w:val="00954919"/>
    <w:rsid w:val="00955C85"/>
    <w:rsid w:val="00962CCE"/>
    <w:rsid w:val="009671A8"/>
    <w:rsid w:val="0097150E"/>
    <w:rsid w:val="00971614"/>
    <w:rsid w:val="00980D95"/>
    <w:rsid w:val="00981874"/>
    <w:rsid w:val="009A338B"/>
    <w:rsid w:val="009A4035"/>
    <w:rsid w:val="009A5C36"/>
    <w:rsid w:val="009A6F43"/>
    <w:rsid w:val="009A6F6F"/>
    <w:rsid w:val="009B13B3"/>
    <w:rsid w:val="009B46BE"/>
    <w:rsid w:val="009B7E79"/>
    <w:rsid w:val="009C2518"/>
    <w:rsid w:val="009C2719"/>
    <w:rsid w:val="009C272E"/>
    <w:rsid w:val="009C4495"/>
    <w:rsid w:val="009D17C8"/>
    <w:rsid w:val="009D793E"/>
    <w:rsid w:val="009E7F55"/>
    <w:rsid w:val="009F4CB5"/>
    <w:rsid w:val="009F6B11"/>
    <w:rsid w:val="009F6DEE"/>
    <w:rsid w:val="00A03E78"/>
    <w:rsid w:val="00A05B63"/>
    <w:rsid w:val="00A11AAA"/>
    <w:rsid w:val="00A12558"/>
    <w:rsid w:val="00A12580"/>
    <w:rsid w:val="00A15ADD"/>
    <w:rsid w:val="00A16B1C"/>
    <w:rsid w:val="00A172D4"/>
    <w:rsid w:val="00A17F3C"/>
    <w:rsid w:val="00A22482"/>
    <w:rsid w:val="00A25AF4"/>
    <w:rsid w:val="00A27453"/>
    <w:rsid w:val="00A3782E"/>
    <w:rsid w:val="00A41F80"/>
    <w:rsid w:val="00A42333"/>
    <w:rsid w:val="00A451DF"/>
    <w:rsid w:val="00A47DF9"/>
    <w:rsid w:val="00A52E51"/>
    <w:rsid w:val="00A53A32"/>
    <w:rsid w:val="00A5563F"/>
    <w:rsid w:val="00A57A8B"/>
    <w:rsid w:val="00A6138C"/>
    <w:rsid w:val="00A66E85"/>
    <w:rsid w:val="00A70622"/>
    <w:rsid w:val="00A7231B"/>
    <w:rsid w:val="00A73027"/>
    <w:rsid w:val="00A7434A"/>
    <w:rsid w:val="00A774CF"/>
    <w:rsid w:val="00A77EAF"/>
    <w:rsid w:val="00A80461"/>
    <w:rsid w:val="00A81E97"/>
    <w:rsid w:val="00A82D5C"/>
    <w:rsid w:val="00A83036"/>
    <w:rsid w:val="00A84D67"/>
    <w:rsid w:val="00A85DE9"/>
    <w:rsid w:val="00A908C4"/>
    <w:rsid w:val="00A960C5"/>
    <w:rsid w:val="00AA3A4C"/>
    <w:rsid w:val="00AA71BC"/>
    <w:rsid w:val="00AB4385"/>
    <w:rsid w:val="00AC2BC2"/>
    <w:rsid w:val="00AC7A6F"/>
    <w:rsid w:val="00AD1569"/>
    <w:rsid w:val="00AD3679"/>
    <w:rsid w:val="00AD6624"/>
    <w:rsid w:val="00AD77E5"/>
    <w:rsid w:val="00AD7C63"/>
    <w:rsid w:val="00AE1209"/>
    <w:rsid w:val="00AE22DD"/>
    <w:rsid w:val="00AE35DF"/>
    <w:rsid w:val="00AE533F"/>
    <w:rsid w:val="00AE54C0"/>
    <w:rsid w:val="00AF07A4"/>
    <w:rsid w:val="00AF2AD5"/>
    <w:rsid w:val="00AF38C5"/>
    <w:rsid w:val="00AF794D"/>
    <w:rsid w:val="00AF7DD0"/>
    <w:rsid w:val="00B0635B"/>
    <w:rsid w:val="00B13D65"/>
    <w:rsid w:val="00B15670"/>
    <w:rsid w:val="00B168C6"/>
    <w:rsid w:val="00B26DC8"/>
    <w:rsid w:val="00B30B9C"/>
    <w:rsid w:val="00B30F4D"/>
    <w:rsid w:val="00B3104A"/>
    <w:rsid w:val="00B3291C"/>
    <w:rsid w:val="00B32C84"/>
    <w:rsid w:val="00B33415"/>
    <w:rsid w:val="00B34A18"/>
    <w:rsid w:val="00B37F81"/>
    <w:rsid w:val="00B40184"/>
    <w:rsid w:val="00B4307F"/>
    <w:rsid w:val="00B43F05"/>
    <w:rsid w:val="00B44E56"/>
    <w:rsid w:val="00B4705F"/>
    <w:rsid w:val="00B4784A"/>
    <w:rsid w:val="00B50184"/>
    <w:rsid w:val="00B53F6E"/>
    <w:rsid w:val="00B55247"/>
    <w:rsid w:val="00B5594E"/>
    <w:rsid w:val="00B566CF"/>
    <w:rsid w:val="00B604CA"/>
    <w:rsid w:val="00B65D7C"/>
    <w:rsid w:val="00B6690D"/>
    <w:rsid w:val="00B7105F"/>
    <w:rsid w:val="00B73153"/>
    <w:rsid w:val="00B74C9B"/>
    <w:rsid w:val="00B763EA"/>
    <w:rsid w:val="00B77452"/>
    <w:rsid w:val="00B7752A"/>
    <w:rsid w:val="00B77AFB"/>
    <w:rsid w:val="00B77F6D"/>
    <w:rsid w:val="00B77FCE"/>
    <w:rsid w:val="00B830B2"/>
    <w:rsid w:val="00B84B47"/>
    <w:rsid w:val="00B85CFF"/>
    <w:rsid w:val="00B92714"/>
    <w:rsid w:val="00B95115"/>
    <w:rsid w:val="00B965A9"/>
    <w:rsid w:val="00BA0650"/>
    <w:rsid w:val="00BA08B0"/>
    <w:rsid w:val="00BA0F71"/>
    <w:rsid w:val="00BA27C2"/>
    <w:rsid w:val="00BA3B65"/>
    <w:rsid w:val="00BA40B3"/>
    <w:rsid w:val="00BB090D"/>
    <w:rsid w:val="00BB0DC7"/>
    <w:rsid w:val="00BB1EA8"/>
    <w:rsid w:val="00BB5A40"/>
    <w:rsid w:val="00BB684E"/>
    <w:rsid w:val="00BC5927"/>
    <w:rsid w:val="00BC593E"/>
    <w:rsid w:val="00BD3B5C"/>
    <w:rsid w:val="00BD6470"/>
    <w:rsid w:val="00BD6623"/>
    <w:rsid w:val="00BD6BD1"/>
    <w:rsid w:val="00BE0438"/>
    <w:rsid w:val="00BE04DA"/>
    <w:rsid w:val="00BE39FF"/>
    <w:rsid w:val="00BE547F"/>
    <w:rsid w:val="00BE75C6"/>
    <w:rsid w:val="00BF1BB3"/>
    <w:rsid w:val="00BF3B78"/>
    <w:rsid w:val="00BF4044"/>
    <w:rsid w:val="00BF7E64"/>
    <w:rsid w:val="00C00024"/>
    <w:rsid w:val="00C052E7"/>
    <w:rsid w:val="00C057CF"/>
    <w:rsid w:val="00C065F3"/>
    <w:rsid w:val="00C06D3F"/>
    <w:rsid w:val="00C078EE"/>
    <w:rsid w:val="00C07A68"/>
    <w:rsid w:val="00C11D32"/>
    <w:rsid w:val="00C24026"/>
    <w:rsid w:val="00C262FC"/>
    <w:rsid w:val="00C26E9E"/>
    <w:rsid w:val="00C270E6"/>
    <w:rsid w:val="00C27DBB"/>
    <w:rsid w:val="00C315EF"/>
    <w:rsid w:val="00C3592B"/>
    <w:rsid w:val="00C3761B"/>
    <w:rsid w:val="00C37A93"/>
    <w:rsid w:val="00C41C8E"/>
    <w:rsid w:val="00C41D54"/>
    <w:rsid w:val="00C45BD8"/>
    <w:rsid w:val="00C46D0C"/>
    <w:rsid w:val="00C501DB"/>
    <w:rsid w:val="00C50B53"/>
    <w:rsid w:val="00C5295E"/>
    <w:rsid w:val="00C53196"/>
    <w:rsid w:val="00C67AC8"/>
    <w:rsid w:val="00C701D9"/>
    <w:rsid w:val="00C74202"/>
    <w:rsid w:val="00C910C0"/>
    <w:rsid w:val="00CA0902"/>
    <w:rsid w:val="00CA10B6"/>
    <w:rsid w:val="00CA197D"/>
    <w:rsid w:val="00CA35D3"/>
    <w:rsid w:val="00CB4C3F"/>
    <w:rsid w:val="00CC0861"/>
    <w:rsid w:val="00CC21C5"/>
    <w:rsid w:val="00CC2AD1"/>
    <w:rsid w:val="00CC35C0"/>
    <w:rsid w:val="00CC4667"/>
    <w:rsid w:val="00CC7E2E"/>
    <w:rsid w:val="00CD328D"/>
    <w:rsid w:val="00CD5BE2"/>
    <w:rsid w:val="00CD6665"/>
    <w:rsid w:val="00CE3352"/>
    <w:rsid w:val="00CE5FDB"/>
    <w:rsid w:val="00CF0F7D"/>
    <w:rsid w:val="00CF3047"/>
    <w:rsid w:val="00CF495F"/>
    <w:rsid w:val="00D0244A"/>
    <w:rsid w:val="00D02AD7"/>
    <w:rsid w:val="00D06F84"/>
    <w:rsid w:val="00D11A99"/>
    <w:rsid w:val="00D13995"/>
    <w:rsid w:val="00D20D60"/>
    <w:rsid w:val="00D233B2"/>
    <w:rsid w:val="00D24371"/>
    <w:rsid w:val="00D26A59"/>
    <w:rsid w:val="00D3116C"/>
    <w:rsid w:val="00D321C5"/>
    <w:rsid w:val="00D33323"/>
    <w:rsid w:val="00D413FB"/>
    <w:rsid w:val="00D46B67"/>
    <w:rsid w:val="00D51954"/>
    <w:rsid w:val="00D52B0F"/>
    <w:rsid w:val="00D64D1B"/>
    <w:rsid w:val="00D65A3F"/>
    <w:rsid w:val="00D6751A"/>
    <w:rsid w:val="00D722E0"/>
    <w:rsid w:val="00D7406A"/>
    <w:rsid w:val="00D7502D"/>
    <w:rsid w:val="00D84341"/>
    <w:rsid w:val="00D846EA"/>
    <w:rsid w:val="00D90264"/>
    <w:rsid w:val="00D915B3"/>
    <w:rsid w:val="00D937B6"/>
    <w:rsid w:val="00D946A6"/>
    <w:rsid w:val="00D9543F"/>
    <w:rsid w:val="00D95B86"/>
    <w:rsid w:val="00DB1815"/>
    <w:rsid w:val="00DB250C"/>
    <w:rsid w:val="00DB25D9"/>
    <w:rsid w:val="00DB3353"/>
    <w:rsid w:val="00DB52AC"/>
    <w:rsid w:val="00DB6253"/>
    <w:rsid w:val="00DB7030"/>
    <w:rsid w:val="00DB7687"/>
    <w:rsid w:val="00DC0366"/>
    <w:rsid w:val="00DC7875"/>
    <w:rsid w:val="00DC78E4"/>
    <w:rsid w:val="00DD3BAD"/>
    <w:rsid w:val="00DD5BD8"/>
    <w:rsid w:val="00DD6911"/>
    <w:rsid w:val="00DD6D95"/>
    <w:rsid w:val="00DE4F61"/>
    <w:rsid w:val="00DE5EE5"/>
    <w:rsid w:val="00DF1C7D"/>
    <w:rsid w:val="00DF514C"/>
    <w:rsid w:val="00E004BB"/>
    <w:rsid w:val="00E02275"/>
    <w:rsid w:val="00E05B6A"/>
    <w:rsid w:val="00E12716"/>
    <w:rsid w:val="00E16F81"/>
    <w:rsid w:val="00E21C94"/>
    <w:rsid w:val="00E22DDE"/>
    <w:rsid w:val="00E249D0"/>
    <w:rsid w:val="00E25CAF"/>
    <w:rsid w:val="00E26F9A"/>
    <w:rsid w:val="00E30448"/>
    <w:rsid w:val="00E32DB3"/>
    <w:rsid w:val="00E338A3"/>
    <w:rsid w:val="00E34CFC"/>
    <w:rsid w:val="00E36932"/>
    <w:rsid w:val="00E376AF"/>
    <w:rsid w:val="00E37BAC"/>
    <w:rsid w:val="00E41BB2"/>
    <w:rsid w:val="00E44169"/>
    <w:rsid w:val="00E44F2B"/>
    <w:rsid w:val="00E50DA0"/>
    <w:rsid w:val="00E51138"/>
    <w:rsid w:val="00E52677"/>
    <w:rsid w:val="00E52E00"/>
    <w:rsid w:val="00E56D57"/>
    <w:rsid w:val="00E62161"/>
    <w:rsid w:val="00E634A0"/>
    <w:rsid w:val="00E65357"/>
    <w:rsid w:val="00E65AE9"/>
    <w:rsid w:val="00E7188F"/>
    <w:rsid w:val="00E732C7"/>
    <w:rsid w:val="00E772EF"/>
    <w:rsid w:val="00E77AB2"/>
    <w:rsid w:val="00E77E46"/>
    <w:rsid w:val="00E825BD"/>
    <w:rsid w:val="00E8613A"/>
    <w:rsid w:val="00E90A55"/>
    <w:rsid w:val="00E91211"/>
    <w:rsid w:val="00E9329E"/>
    <w:rsid w:val="00E94801"/>
    <w:rsid w:val="00EA6EC5"/>
    <w:rsid w:val="00EB1D20"/>
    <w:rsid w:val="00EB3FF4"/>
    <w:rsid w:val="00EB5DD5"/>
    <w:rsid w:val="00EB761C"/>
    <w:rsid w:val="00EC1CD2"/>
    <w:rsid w:val="00EC36D4"/>
    <w:rsid w:val="00EC6532"/>
    <w:rsid w:val="00EC6568"/>
    <w:rsid w:val="00ED3A88"/>
    <w:rsid w:val="00ED4D16"/>
    <w:rsid w:val="00ED5928"/>
    <w:rsid w:val="00ED6F3E"/>
    <w:rsid w:val="00EE0450"/>
    <w:rsid w:val="00EE2D5A"/>
    <w:rsid w:val="00EE7152"/>
    <w:rsid w:val="00EF0F63"/>
    <w:rsid w:val="00EF140D"/>
    <w:rsid w:val="00EF1746"/>
    <w:rsid w:val="00EF232B"/>
    <w:rsid w:val="00EF3672"/>
    <w:rsid w:val="00EF6E3C"/>
    <w:rsid w:val="00EF7738"/>
    <w:rsid w:val="00EF7CC9"/>
    <w:rsid w:val="00F0380C"/>
    <w:rsid w:val="00F05F0E"/>
    <w:rsid w:val="00F06103"/>
    <w:rsid w:val="00F0698A"/>
    <w:rsid w:val="00F101DA"/>
    <w:rsid w:val="00F1103C"/>
    <w:rsid w:val="00F119DE"/>
    <w:rsid w:val="00F1252C"/>
    <w:rsid w:val="00F15F64"/>
    <w:rsid w:val="00F20000"/>
    <w:rsid w:val="00F25B0C"/>
    <w:rsid w:val="00F30845"/>
    <w:rsid w:val="00F360CF"/>
    <w:rsid w:val="00F372B2"/>
    <w:rsid w:val="00F37A3A"/>
    <w:rsid w:val="00F459D4"/>
    <w:rsid w:val="00F5146F"/>
    <w:rsid w:val="00F572C2"/>
    <w:rsid w:val="00F66EA0"/>
    <w:rsid w:val="00F74089"/>
    <w:rsid w:val="00F74CC3"/>
    <w:rsid w:val="00F83789"/>
    <w:rsid w:val="00F96B85"/>
    <w:rsid w:val="00FA08D9"/>
    <w:rsid w:val="00FA6B38"/>
    <w:rsid w:val="00FA7CF9"/>
    <w:rsid w:val="00FB3ADB"/>
    <w:rsid w:val="00FC1E82"/>
    <w:rsid w:val="00FC399C"/>
    <w:rsid w:val="00FC5AFF"/>
    <w:rsid w:val="00FC62CC"/>
    <w:rsid w:val="00FC6C7E"/>
    <w:rsid w:val="00FD2779"/>
    <w:rsid w:val="00FD7794"/>
    <w:rsid w:val="00FE1401"/>
    <w:rsid w:val="00FE260C"/>
    <w:rsid w:val="00FE2AE2"/>
    <w:rsid w:val="00FE396B"/>
    <w:rsid w:val="00FE607B"/>
    <w:rsid w:val="00FE7CCC"/>
    <w:rsid w:val="00FF17CE"/>
    <w:rsid w:val="00FF1C86"/>
    <w:rsid w:val="00FF2A67"/>
    <w:rsid w:val="00FF2C85"/>
    <w:rsid w:val="047F3C4C"/>
    <w:rsid w:val="0DFC21D4"/>
    <w:rsid w:val="108A16FB"/>
    <w:rsid w:val="10D97BA0"/>
    <w:rsid w:val="136C4A20"/>
    <w:rsid w:val="1E264893"/>
    <w:rsid w:val="25D73CA2"/>
    <w:rsid w:val="30C72B24"/>
    <w:rsid w:val="38DB1F8D"/>
    <w:rsid w:val="48865236"/>
    <w:rsid w:val="4A237BFF"/>
    <w:rsid w:val="4D27249A"/>
    <w:rsid w:val="58CE51E4"/>
    <w:rsid w:val="5B505964"/>
    <w:rsid w:val="5B84672E"/>
    <w:rsid w:val="6ABF49BB"/>
    <w:rsid w:val="6F0B6421"/>
    <w:rsid w:val="71B132B0"/>
    <w:rsid w:val="71E633E4"/>
    <w:rsid w:val="79E955B1"/>
    <w:rsid w:val="7ABB6F4D"/>
    <w:rsid w:val="7B6F0BFE"/>
    <w:rsid w:val="7B7315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3"/>
    <w:basedOn w:val="1"/>
    <w:qFormat/>
    <w:uiPriority w:val="0"/>
    <w:pPr>
      <w:spacing w:after="120"/>
    </w:pPr>
    <w:rPr>
      <w:sz w:val="16"/>
      <w:szCs w:val="16"/>
    </w:rPr>
  </w:style>
  <w:style w:type="paragraph" w:styleId="3">
    <w:name w:val="Body Text"/>
    <w:basedOn w:val="1"/>
    <w:qFormat/>
    <w:uiPriority w:val="0"/>
    <w:pPr>
      <w:jc w:val="center"/>
    </w:pPr>
  </w:style>
  <w:style w:type="paragraph" w:styleId="4">
    <w:name w:val="Balloon Text"/>
    <w:basedOn w:val="1"/>
    <w:link w:val="13"/>
    <w:unhideWhenUsed/>
    <w:qFormat/>
    <w:uiPriority w:val="0"/>
    <w:rPr>
      <w:sz w:val="18"/>
      <w:szCs w:val="18"/>
    </w:rPr>
  </w:style>
  <w:style w:type="paragraph" w:styleId="5">
    <w:name w:val="footer"/>
    <w:basedOn w:val="1"/>
    <w:link w:val="11"/>
    <w:qFormat/>
    <w:uiPriority w:val="99"/>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框图"/>
    <w:basedOn w:val="1"/>
    <w:qFormat/>
    <w:uiPriority w:val="0"/>
    <w:pPr>
      <w:spacing w:line="360" w:lineRule="auto"/>
    </w:pPr>
    <w:rPr>
      <w:szCs w:val="20"/>
    </w:rPr>
  </w:style>
  <w:style w:type="character" w:customStyle="1" w:styleId="11">
    <w:name w:val="页脚 Char"/>
    <w:basedOn w:val="9"/>
    <w:link w:val="5"/>
    <w:qFormat/>
    <w:uiPriority w:val="99"/>
    <w:rPr>
      <w:kern w:val="2"/>
      <w:sz w:val="18"/>
      <w:szCs w:val="18"/>
    </w:rPr>
  </w:style>
  <w:style w:type="paragraph" w:styleId="12">
    <w:name w:val="List Paragraph"/>
    <w:basedOn w:val="1"/>
    <w:qFormat/>
    <w:uiPriority w:val="34"/>
    <w:pPr>
      <w:ind w:firstLine="420" w:firstLineChars="200"/>
    </w:pPr>
  </w:style>
  <w:style w:type="character" w:customStyle="1" w:styleId="13">
    <w:name w:val="批注框文本 Char"/>
    <w:basedOn w:val="9"/>
    <w:link w:val="4"/>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F7F021-CE08-487E-A7AC-57DC9AA9DA61}">
  <ds:schemaRefs/>
</ds:datastoreItem>
</file>

<file path=docProps/app.xml><?xml version="1.0" encoding="utf-8"?>
<Properties xmlns="http://schemas.openxmlformats.org/officeDocument/2006/extended-properties" xmlns:vt="http://schemas.openxmlformats.org/officeDocument/2006/docPropsVTypes">
  <Template>Normal</Template>
  <Company>lz</Company>
  <Pages>3</Pages>
  <Words>1053</Words>
  <Characters>1120</Characters>
  <Lines>8</Lines>
  <Paragraphs>2</Paragraphs>
  <TotalTime>0</TotalTime>
  <ScaleCrop>false</ScaleCrop>
  <LinksUpToDate>false</LinksUpToDate>
  <CharactersWithSpaces>1132</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2023-11-07T08:34:00Z</dcterms:created>
  <dc:creator>www</dc:creator>
  <cp:lastModifiedBy>Administrator</cp:lastModifiedBy>
  <cp:lastPrinted>2023-02-08T03:46:00Z</cp:lastPrinted>
  <dcterms:modified xsi:type="dcterms:W3CDTF">2024-11-04T03:16:11Z</dcterms:modified>
  <dc:title>控制程序</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AD5CA679279248C39FA541BDBF2F950D_13</vt:lpwstr>
  </property>
</Properties>
</file>