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B7127E">
      <w:r>
        <w:rPr>
          <w:rFonts w:hint="eastAsia" w:ascii="微软雅黑" w:hAnsi="微软雅黑" w:eastAsia="微软雅黑"/>
          <w:b/>
          <w:bCs/>
          <w:sz w:val="24"/>
          <w:lang w:eastAsia="zh-CN"/>
        </w:rPr>
        <w:drawing>
          <wp:anchor distT="0" distB="0" distL="114300" distR="114300" simplePos="0" relativeHeight="251675648" behindDoc="0" locked="0" layoutInCell="1" allowOverlap="1">
            <wp:simplePos x="0" y="0"/>
            <wp:positionH relativeFrom="column">
              <wp:posOffset>866775</wp:posOffset>
            </wp:positionH>
            <wp:positionV relativeFrom="paragraph">
              <wp:posOffset>142240</wp:posOffset>
            </wp:positionV>
            <wp:extent cx="1067435" cy="350520"/>
            <wp:effectExtent l="0" t="0" r="14605" b="0"/>
            <wp:wrapNone/>
            <wp:docPr id="11" name="图片 11" descr="7b0a202020202266696c746572223a202230220a7d0a"/>
            <wp:cNvGraphicFramePr>
              <a:graphicFrameLocks xmlns:a="http://schemas.openxmlformats.org/drawingml/2006/main" noChangeAspect="1"/>
              <a:extLst xmlns:a="http://schemas.openxmlformats.org/drawingml/2006/main">
                <a:ext uri="{7FBC4E63-A832-4D11-8238-D91031DB1400}">
                  <s:tag xmlns="http://www.wps.cn/officeDocument/2013/wpsCustomData" xmlns:s="http://www.wps.cn/officeDocument/2013/wpsCustomData">
                    <s:item s:name="picid" s:val="{be3725aa-2d7e-49fb-9df3-c634aee0dab0}"/>
                  </s:tag>
                </a:ext>
              </a:extLst>
            </wp:cNvGraphicFramePr>
            <a:graphic xmlns:a="http://schemas.openxmlformats.org/drawingml/2006/main">
              <a:graphicData uri="http://schemas.openxmlformats.org/drawingml/2006/picture">
                <pic:pic xmlns:pic="http://schemas.openxmlformats.org/drawingml/2006/picture">
                  <pic:nvPicPr>
                    <pic:cNvPr id="11" name="图片 11" descr="7b0a202020202266696c746572223a202230220a7d0a"/>
                    <pic:cNvPicPr>
                      <a:picLocks noChangeAspect="1"/>
                    </pic:cNvPicPr>
                  </pic:nvPicPr>
                  <pic:blipFill>
                    <a:blip r:embed="rId8">
                      <a:clrChange>
                        <a:clrFrom>
                          <a:srgbClr val="B1A39A">
                            <a:alpha val="100000"/>
                          </a:srgbClr>
                        </a:clrFrom>
                        <a:clrTo>
                          <a:srgbClr val="B1A39A">
                            <a:alpha val="100000"/>
                            <a:alpha val="0"/>
                          </a:srgbClr>
                        </a:clrTo>
                      </a:clrChange>
                      <a:lum bright="24000" contrast="30000"/>
                    </a:blip>
                    <a:stretch>
                      <a:fillRect/>
                    </a:stretch>
                  </pic:blipFill>
                  <pic:spPr>
                    <a:xfrm>
                      <a:off x="0" y="0"/>
                      <a:ext cx="1067435" cy="350520"/>
                    </a:xfrm>
                    <a:prstGeom prst="rect">
                      <a:avLst/>
                    </a:prstGeom>
                  </pic:spPr>
                </pic:pic>
              </a:graphicData>
            </a:graphic>
          </wp:anchor>
        </w:drawing>
      </w:r>
    </w:p>
    <w:p w14:paraId="67A55B1E">
      <w:pPr>
        <w:rPr>
          <w:rFonts w:hint="eastAsia" w:ascii="微软雅黑" w:hAnsi="微软雅黑" w:eastAsia="微软雅黑"/>
          <w:b/>
          <w:bCs/>
          <w:sz w:val="24"/>
          <w:lang w:eastAsia="zh-CN"/>
        </w:rPr>
      </w:pPr>
      <w:r>
        <w:rPr>
          <w:rFonts w:hint="eastAsia" w:ascii="微软雅黑" w:hAnsi="微软雅黑" w:eastAsia="微软雅黑"/>
          <w:bCs/>
          <w:sz w:val="28"/>
        </w:rPr>
        <w:t>受控状态</w:t>
      </w:r>
      <w:r>
        <w:rPr>
          <w:rFonts w:ascii="微软雅黑" w:hAnsi="微软雅黑" w:eastAsia="微软雅黑"/>
          <w:bCs/>
          <w:sz w:val="24"/>
        </w:rPr>
        <w:t>：</w:t>
      </w:r>
    </w:p>
    <w:p w14:paraId="193FFECC">
      <w:pPr>
        <w:tabs>
          <w:tab w:val="left" w:pos="7384"/>
        </w:tabs>
        <w:rPr>
          <w:rFonts w:ascii="宋体" w:hAnsi="宋体"/>
          <w:bCs/>
          <w:sz w:val="24"/>
        </w:rPr>
      </w:pPr>
      <w:r>
        <w:rPr>
          <w:rFonts w:ascii="宋体" w:hAnsi="宋体"/>
          <w:bCs/>
          <w:sz w:val="24"/>
        </w:rPr>
        <w:tab/>
      </w:r>
    </w:p>
    <w:p w14:paraId="697537CD">
      <w:pPr>
        <w:spacing w:before="156" w:beforeLines="50" w:line="240" w:lineRule="exact"/>
        <w:rPr>
          <w:b/>
          <w:bCs/>
          <w:sz w:val="44"/>
        </w:rPr>
      </w:pPr>
      <w:r>
        <mc:AlternateContent>
          <mc:Choice Requires="wps">
            <w:drawing>
              <wp:anchor distT="0" distB="0" distL="114300" distR="114300" simplePos="0" relativeHeight="251667456" behindDoc="0" locked="0" layoutInCell="1" allowOverlap="1">
                <wp:simplePos x="0" y="0"/>
                <wp:positionH relativeFrom="column">
                  <wp:posOffset>3662045</wp:posOffset>
                </wp:positionH>
                <wp:positionV relativeFrom="paragraph">
                  <wp:posOffset>1905</wp:posOffset>
                </wp:positionV>
                <wp:extent cx="2324100" cy="753745"/>
                <wp:effectExtent l="0" t="0" r="0" b="0"/>
                <wp:wrapNone/>
                <wp:docPr id="441262438" name="文本框 441262438"/>
                <wp:cNvGraphicFramePr/>
                <a:graphic xmlns:a="http://schemas.openxmlformats.org/drawingml/2006/main">
                  <a:graphicData uri="http://schemas.microsoft.com/office/word/2010/wordprocessingShape">
                    <wps:wsp>
                      <wps:cNvSpPr txBox="1">
                        <a:spLocks noChangeArrowheads="1"/>
                      </wps:cNvSpPr>
                      <wps:spPr bwMode="auto">
                        <a:xfrm>
                          <a:off x="0" y="0"/>
                          <a:ext cx="2094230" cy="753745"/>
                        </a:xfrm>
                        <a:prstGeom prst="rect">
                          <a:avLst/>
                        </a:prstGeom>
                        <a:noFill/>
                        <a:ln>
                          <a:noFill/>
                        </a:ln>
                        <a:effectLst/>
                      </wps:spPr>
                      <wps:txbx>
                        <w:txbxContent>
                          <w:p w14:paraId="2C5B7EA1">
                            <w:pPr>
                              <w:outlineLvl w:val="0"/>
                              <w:rPr>
                                <w:rFonts w:hint="default" w:ascii="微软雅黑" w:hAnsi="微软雅黑" w:eastAsia="微软雅黑"/>
                                <w:sz w:val="28"/>
                                <w:szCs w:val="36"/>
                                <w:lang w:val="en-US" w:eastAsia="zh-CN"/>
                              </w:rPr>
                            </w:pPr>
                            <w:r>
                              <w:rPr>
                                <w:rFonts w:hint="eastAsia" w:ascii="微软雅黑" w:hAnsi="微软雅黑" w:eastAsia="微软雅黑"/>
                                <w:sz w:val="28"/>
                                <w:szCs w:val="36"/>
                              </w:rPr>
                              <w:t>编</w:t>
                            </w:r>
                            <w:r>
                              <w:rPr>
                                <w:rFonts w:hint="eastAsia" w:ascii="微软雅黑" w:hAnsi="微软雅黑" w:eastAsia="微软雅黑"/>
                                <w:color w:val="auto"/>
                                <w:sz w:val="28"/>
                                <w:szCs w:val="36"/>
                              </w:rPr>
                              <w:t>号：</w:t>
                            </w:r>
                            <w:r>
                              <w:rPr>
                                <w:rFonts w:hint="eastAsia" w:ascii="微软雅黑" w:hAnsi="微软雅黑" w:eastAsia="微软雅黑"/>
                                <w:color w:val="auto"/>
                                <w:sz w:val="28"/>
                                <w:szCs w:val="36"/>
                                <w:lang w:val="en-US" w:eastAsia="zh-CN"/>
                              </w:rPr>
                              <w:t>A/GDLD-ASI-2024</w:t>
                            </w:r>
                          </w:p>
                          <w:p w14:paraId="48D86F7F">
                            <w:pPr>
                              <w:spacing w:line="360" w:lineRule="exact"/>
                              <w:jc w:val="left"/>
                              <w:rPr>
                                <w:rFonts w:hint="eastAsia" w:ascii="宋体" w:hAnsi="宋体" w:eastAsia="微软雅黑"/>
                                <w:b/>
                                <w:bCs/>
                                <w:sz w:val="28"/>
                                <w:szCs w:val="36"/>
                                <w:lang w:val="en-US" w:eastAsia="zh-CN"/>
                              </w:rPr>
                            </w:pPr>
                            <w:r>
                              <w:rPr>
                                <w:rFonts w:hint="eastAsia" w:ascii="微软雅黑" w:hAnsi="微软雅黑" w:eastAsia="微软雅黑"/>
                                <w:sz w:val="28"/>
                                <w:szCs w:val="36"/>
                              </w:rPr>
                              <w:t>版本：</w:t>
                            </w:r>
                            <w:r>
                              <w:rPr>
                                <w:rFonts w:hint="eastAsia" w:ascii="微软雅黑" w:hAnsi="微软雅黑" w:eastAsia="微软雅黑"/>
                                <w:sz w:val="28"/>
                                <w:szCs w:val="36"/>
                                <w:lang w:val="en-US" w:eastAsia="zh-CN"/>
                              </w:rPr>
                              <w:t>A</w:t>
                            </w:r>
                            <w:r>
                              <w:rPr>
                                <w:rFonts w:ascii="微软雅黑" w:hAnsi="微软雅黑" w:eastAsia="微软雅黑"/>
                                <w:sz w:val="28"/>
                                <w:szCs w:val="36"/>
                              </w:rPr>
                              <w:t xml:space="preserve"> </w:t>
                            </w:r>
                            <w:r>
                              <w:rPr>
                                <w:rFonts w:hint="eastAsia" w:ascii="微软雅黑" w:hAnsi="微软雅黑" w:eastAsia="微软雅黑"/>
                                <w:sz w:val="28"/>
                                <w:szCs w:val="36"/>
                              </w:rPr>
                              <w:t>/</w:t>
                            </w:r>
                            <w:r>
                              <w:rPr>
                                <w:rFonts w:ascii="微软雅黑" w:hAnsi="微软雅黑" w:eastAsia="微软雅黑"/>
                                <w:sz w:val="28"/>
                                <w:szCs w:val="36"/>
                              </w:rPr>
                              <w:t xml:space="preserve"> </w:t>
                            </w:r>
                            <w:r>
                              <w:rPr>
                                <w:rFonts w:hint="eastAsia" w:ascii="微软雅黑" w:hAnsi="微软雅黑" w:eastAsia="微软雅黑"/>
                                <w:sz w:val="28"/>
                                <w:szCs w:val="36"/>
                                <w:lang w:val="en-US" w:eastAsia="zh-CN"/>
                              </w:rPr>
                              <w:t>0</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88.35pt;margin-top:0.15pt;height:59.35pt;width:183pt;z-index:251667456;mso-width-relative:page;mso-height-relative:page;" filled="f" stroked="f" coordsize="21600,21600" o:gfxdata="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Caa/x&#10;1QAAAAgBAAAPAAAAAAAAAAEAIAAAACIAAABkcnMvZG93bnJldi54bWxQSwECFAAUAAAACACHTuJA&#10;vh0fUiQCAAAzBAAADgAAAAAAAAABACAAAAAkAQAAZHJzL2Uyb0RvYy54bWxQSwUGAAAAAAYABgBZ&#10;AQAAugUAAAAA&#10;">
                <v:fill on="f" focussize="0,0"/>
                <v:stroke on="f"/>
                <v:imagedata o:title=""/>
                <o:lock v:ext="edit" aspectratio="f"/>
                <v:textbox>
                  <w:txbxContent>
                    <w:p w14:paraId="2C5B7EA1">
                      <w:pPr>
                        <w:outlineLvl w:val="0"/>
                        <w:rPr>
                          <w:rFonts w:hint="default" w:ascii="微软雅黑" w:hAnsi="微软雅黑" w:eastAsia="微软雅黑"/>
                          <w:sz w:val="28"/>
                          <w:szCs w:val="36"/>
                          <w:lang w:val="en-US" w:eastAsia="zh-CN"/>
                        </w:rPr>
                      </w:pPr>
                      <w:r>
                        <w:rPr>
                          <w:rFonts w:hint="eastAsia" w:ascii="微软雅黑" w:hAnsi="微软雅黑" w:eastAsia="微软雅黑"/>
                          <w:sz w:val="28"/>
                          <w:szCs w:val="36"/>
                        </w:rPr>
                        <w:t>编</w:t>
                      </w:r>
                      <w:r>
                        <w:rPr>
                          <w:rFonts w:hint="eastAsia" w:ascii="微软雅黑" w:hAnsi="微软雅黑" w:eastAsia="微软雅黑"/>
                          <w:color w:val="auto"/>
                          <w:sz w:val="28"/>
                          <w:szCs w:val="36"/>
                        </w:rPr>
                        <w:t>号：</w:t>
                      </w:r>
                      <w:r>
                        <w:rPr>
                          <w:rFonts w:hint="eastAsia" w:ascii="微软雅黑" w:hAnsi="微软雅黑" w:eastAsia="微软雅黑"/>
                          <w:color w:val="auto"/>
                          <w:sz w:val="28"/>
                          <w:szCs w:val="36"/>
                          <w:lang w:val="en-US" w:eastAsia="zh-CN"/>
                        </w:rPr>
                        <w:t>A/GDLD-ASI-2024</w:t>
                      </w:r>
                    </w:p>
                    <w:p w14:paraId="48D86F7F">
                      <w:pPr>
                        <w:spacing w:line="360" w:lineRule="exact"/>
                        <w:jc w:val="left"/>
                        <w:rPr>
                          <w:rFonts w:hint="eastAsia" w:ascii="宋体" w:hAnsi="宋体" w:eastAsia="微软雅黑"/>
                          <w:b/>
                          <w:bCs/>
                          <w:sz w:val="28"/>
                          <w:szCs w:val="36"/>
                          <w:lang w:val="en-US" w:eastAsia="zh-CN"/>
                        </w:rPr>
                      </w:pPr>
                      <w:r>
                        <w:rPr>
                          <w:rFonts w:hint="eastAsia" w:ascii="微软雅黑" w:hAnsi="微软雅黑" w:eastAsia="微软雅黑"/>
                          <w:sz w:val="28"/>
                          <w:szCs w:val="36"/>
                        </w:rPr>
                        <w:t>版本：</w:t>
                      </w:r>
                      <w:r>
                        <w:rPr>
                          <w:rFonts w:hint="eastAsia" w:ascii="微软雅黑" w:hAnsi="微软雅黑" w:eastAsia="微软雅黑"/>
                          <w:sz w:val="28"/>
                          <w:szCs w:val="36"/>
                          <w:lang w:val="en-US" w:eastAsia="zh-CN"/>
                        </w:rPr>
                        <w:t>A</w:t>
                      </w:r>
                      <w:r>
                        <w:rPr>
                          <w:rFonts w:ascii="微软雅黑" w:hAnsi="微软雅黑" w:eastAsia="微软雅黑"/>
                          <w:sz w:val="28"/>
                          <w:szCs w:val="36"/>
                        </w:rPr>
                        <w:t xml:space="preserve"> </w:t>
                      </w:r>
                      <w:r>
                        <w:rPr>
                          <w:rFonts w:hint="eastAsia" w:ascii="微软雅黑" w:hAnsi="微软雅黑" w:eastAsia="微软雅黑"/>
                          <w:sz w:val="28"/>
                          <w:szCs w:val="36"/>
                        </w:rPr>
                        <w:t>/</w:t>
                      </w:r>
                      <w:r>
                        <w:rPr>
                          <w:rFonts w:ascii="微软雅黑" w:hAnsi="微软雅黑" w:eastAsia="微软雅黑"/>
                          <w:sz w:val="28"/>
                          <w:szCs w:val="36"/>
                        </w:rPr>
                        <w:t xml:space="preserve"> </w:t>
                      </w:r>
                      <w:r>
                        <w:rPr>
                          <w:rFonts w:hint="eastAsia" w:ascii="微软雅黑" w:hAnsi="微软雅黑" w:eastAsia="微软雅黑"/>
                          <w:sz w:val="28"/>
                          <w:szCs w:val="36"/>
                          <w:lang w:val="en-US" w:eastAsia="zh-CN"/>
                        </w:rPr>
                        <w:t>0</w:t>
                      </w:r>
                    </w:p>
                  </w:txbxContent>
                </v:textbox>
              </v:shape>
            </w:pict>
          </mc:Fallback>
        </mc:AlternateContent>
      </w:r>
    </w:p>
    <w:p w14:paraId="66EA3FF3">
      <w:pPr>
        <w:jc w:val="left"/>
        <w:rPr>
          <w:rFonts w:ascii="微软雅黑" w:eastAsia="微软雅黑" w:cs="微软雅黑"/>
          <w:b/>
          <w:bCs/>
          <w:color w:val="000000"/>
          <w:kern w:val="0"/>
          <w:sz w:val="36"/>
          <w:szCs w:val="36"/>
          <w:lang w:val="zh-CN"/>
        </w:rPr>
      </w:pPr>
      <w:r>
        <w:rPr>
          <w:rFonts w:hint="eastAsia" w:ascii="微软雅黑" w:eastAsia="微软雅黑" w:cs="微软雅黑"/>
          <w:b/>
          <w:bCs/>
          <w:color w:val="000000"/>
          <w:kern w:val="0"/>
          <w:sz w:val="36"/>
          <w:szCs w:val="36"/>
          <w:lang w:val="zh-CN"/>
        </w:rPr>
        <w:t>管理手册</w:t>
      </w:r>
    </w:p>
    <w:p w14:paraId="75A359F1">
      <w:pPr>
        <w:rPr>
          <w:sz w:val="24"/>
        </w:rPr>
      </w:pPr>
      <w:r>
        <mc:AlternateContent>
          <mc:Choice Requires="wps">
            <w:drawing>
              <wp:anchor distT="0" distB="0" distL="114300" distR="114300" simplePos="0" relativeHeight="251662336" behindDoc="0" locked="0" layoutInCell="1" allowOverlap="1">
                <wp:simplePos x="0" y="0"/>
                <wp:positionH relativeFrom="column">
                  <wp:posOffset>-5715</wp:posOffset>
                </wp:positionH>
                <wp:positionV relativeFrom="paragraph">
                  <wp:posOffset>111125</wp:posOffset>
                </wp:positionV>
                <wp:extent cx="5922010" cy="0"/>
                <wp:effectExtent l="0" t="4445" r="0" b="5080"/>
                <wp:wrapNone/>
                <wp:docPr id="1893691630" name="直接连接符 1893691630"/>
                <wp:cNvGraphicFramePr/>
                <a:graphic xmlns:a="http://schemas.openxmlformats.org/drawingml/2006/main">
                  <a:graphicData uri="http://schemas.microsoft.com/office/word/2010/wordprocessingShape">
                    <wps:wsp>
                      <wps:cNvCnPr>
                        <a:cxnSpLocks noChangeShapeType="1"/>
                      </wps:cNvCnPr>
                      <wps:spPr bwMode="auto">
                        <a:xfrm>
                          <a:off x="0" y="0"/>
                          <a:ext cx="592201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45pt;margin-top:8.75pt;height:0pt;width:466.3pt;z-index:251662336;mso-width-relative:page;mso-height-relative:page;" filled="f" stroked="t" coordsize="21600,21600" o:gfxdata="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mAHTNMAAAAHAQAADwAAAAAAAAABACAAAAAiAAAAZHJzL2Rvd25yZXYueG1sUEsBAhQAFAAAAAgA&#10;h07iQNfKjVfxAQAAygMAAA4AAAAAAAAAAQAgAAAAIgEAAGRycy9lMm9Eb2MueG1sUEsFBgAAAAAG&#10;AAYAWQEAAIUFAAAAAA==&#10;">
                <v:fill on="f" focussize="0,0"/>
                <v:stroke color="#000000" joinstyle="round"/>
                <v:imagedata o:title=""/>
                <o:lock v:ext="edit" aspectratio="f"/>
              </v:line>
            </w:pict>
          </mc:Fallback>
        </mc:AlternateContent>
      </w:r>
    </w:p>
    <w:p w14:paraId="734A5030">
      <w:pPr>
        <w:ind w:firstLine="3200" w:firstLineChars="1000"/>
        <w:rPr>
          <w:sz w:val="32"/>
        </w:rPr>
      </w:pPr>
    </w:p>
    <w:p w14:paraId="0CA5743C">
      <w:pPr>
        <w:ind w:firstLine="2100" w:firstLineChars="1000"/>
        <w:rPr>
          <w:sz w:val="32"/>
        </w:rPr>
      </w:pPr>
      <w:r>
        <mc:AlternateContent>
          <mc:Choice Requires="wps">
            <w:drawing>
              <wp:anchor distT="0" distB="0" distL="114300" distR="114300" simplePos="0" relativeHeight="251670528" behindDoc="0" locked="0" layoutInCell="1" allowOverlap="1">
                <wp:simplePos x="0" y="0"/>
                <wp:positionH relativeFrom="column">
                  <wp:posOffset>3672840</wp:posOffset>
                </wp:positionH>
                <wp:positionV relativeFrom="paragraph">
                  <wp:posOffset>8150860</wp:posOffset>
                </wp:positionV>
                <wp:extent cx="3514725" cy="715645"/>
                <wp:effectExtent l="9525" t="9525" r="19050" b="627380"/>
                <wp:wrapNone/>
                <wp:docPr id="1594113454" name="圆角矩形标注 1594113454"/>
                <wp:cNvGraphicFramePr/>
                <a:graphic xmlns:a="http://schemas.openxmlformats.org/drawingml/2006/main">
                  <a:graphicData uri="http://schemas.microsoft.com/office/word/2010/wordprocessingShape">
                    <wps:wsp>
                      <wps:cNvSpPr>
                        <a:spLocks noChangeArrowheads="1"/>
                      </wps:cNvSpPr>
                      <wps:spPr bwMode="auto">
                        <a:xfrm>
                          <a:off x="0" y="0"/>
                          <a:ext cx="3514725" cy="715645"/>
                        </a:xfrm>
                        <a:prstGeom prst="wedgeRoundRectCallout">
                          <a:avLst>
                            <a:gd name="adj1" fmla="val -31986"/>
                            <a:gd name="adj2" fmla="val 134913"/>
                            <a:gd name="adj3" fmla="val 16667"/>
                          </a:avLst>
                        </a:prstGeom>
                        <a:solidFill>
                          <a:srgbClr val="FFFFFF"/>
                        </a:solidFill>
                        <a:ln w="19050">
                          <a:solidFill>
                            <a:sysClr val="windowText" lastClr="000000">
                              <a:lumMod val="100000"/>
                              <a:lumOff val="0"/>
                            </a:sysClr>
                          </a:solidFill>
                          <a:miter lim="800000"/>
                        </a:ln>
                        <a:effectLst/>
                      </wps:spPr>
                      <wps:txbx>
                        <w:txbxContent>
                          <w:p w14:paraId="66E29EE1">
                            <w:pPr>
                              <w:autoSpaceDE w:val="0"/>
                              <w:autoSpaceDN w:val="0"/>
                              <w:adjustRightInd w:val="0"/>
                              <w:jc w:val="left"/>
                              <w:rPr>
                                <w:rFonts w:ascii="宋体" w:hAnsi="宋体" w:cs="黑体"/>
                                <w:b/>
                                <w:bCs/>
                                <w:color w:val="000000"/>
                                <w:kern w:val="0"/>
                                <w:sz w:val="16"/>
                                <w:szCs w:val="16"/>
                                <w:lang w:val="zh-CN"/>
                              </w:rPr>
                            </w:pPr>
                            <w:r>
                              <w:rPr>
                                <w:rFonts w:hint="eastAsia" w:ascii="宋体" w:hAnsi="宋体" w:cs="宋体"/>
                                <w:b/>
                                <w:color w:val="000000"/>
                                <w:kern w:val="0"/>
                                <w:sz w:val="16"/>
                                <w:szCs w:val="16"/>
                                <w:lang w:val="zh-CN"/>
                              </w:rPr>
                              <w:t>发布部门：</w:t>
                            </w:r>
                            <w:r>
                              <w:rPr>
                                <w:rFonts w:ascii="宋体" w:hAnsi="宋体" w:cs="宋体"/>
                                <w:b/>
                                <w:color w:val="000000"/>
                                <w:kern w:val="0"/>
                                <w:sz w:val="16"/>
                                <w:szCs w:val="16"/>
                                <w:lang w:val="zh-CN"/>
                              </w:rPr>
                              <w:t>集团</w:t>
                            </w:r>
                            <w:r>
                              <w:rPr>
                                <w:rFonts w:hint="eastAsia" w:ascii="宋体" w:hAnsi="宋体" w:cs="宋体"/>
                                <w:b/>
                                <w:color w:val="000000"/>
                                <w:kern w:val="0"/>
                                <w:sz w:val="16"/>
                                <w:szCs w:val="16"/>
                                <w:lang w:val="zh-CN"/>
                              </w:rPr>
                              <w:t>级体系文件发布单位为</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诺博汽车</w:t>
                            </w:r>
                            <w:r>
                              <w:rPr>
                                <w:rFonts w:ascii="宋体" w:hAnsi="宋体" w:cs="宋体"/>
                                <w:b/>
                                <w:color w:val="000000"/>
                                <w:kern w:val="0"/>
                                <w:sz w:val="16"/>
                                <w:szCs w:val="16"/>
                                <w:lang w:val="zh-CN"/>
                              </w:rPr>
                              <w:t>系统有限公司”</w:t>
                            </w:r>
                            <w:r>
                              <w:rPr>
                                <w:rFonts w:hint="eastAsia" w:ascii="宋体" w:hAnsi="宋体" w:cs="宋体"/>
                                <w:b/>
                                <w:color w:val="000000"/>
                                <w:kern w:val="0"/>
                                <w:sz w:val="16"/>
                                <w:szCs w:val="16"/>
                                <w:lang w:val="zh-CN"/>
                              </w:rPr>
                              <w:t>，公司级体系文件发布单位为</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诺博汽车</w:t>
                            </w:r>
                            <w:r>
                              <w:rPr>
                                <w:rFonts w:ascii="宋体" w:hAnsi="宋体" w:cs="宋体"/>
                                <w:b/>
                                <w:color w:val="000000"/>
                                <w:kern w:val="0"/>
                                <w:sz w:val="16"/>
                                <w:szCs w:val="16"/>
                                <w:lang w:val="zh-CN"/>
                              </w:rPr>
                              <w:t>系统有限公司---</w:t>
                            </w:r>
                            <w:r>
                              <w:rPr>
                                <w:rFonts w:hint="eastAsia" w:ascii="宋体" w:hAnsi="宋体" w:cs="宋体"/>
                                <w:b/>
                                <w:color w:val="000000"/>
                                <w:kern w:val="0"/>
                                <w:sz w:val="16"/>
                                <w:szCs w:val="16"/>
                                <w:lang w:val="zh-CN"/>
                              </w:rPr>
                              <w:t>本公司名称</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，如</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诺博汽车</w:t>
                            </w:r>
                            <w:r>
                              <w:rPr>
                                <w:rFonts w:ascii="宋体" w:hAnsi="宋体" w:cs="宋体"/>
                                <w:b/>
                                <w:color w:val="000000"/>
                                <w:kern w:val="0"/>
                                <w:sz w:val="16"/>
                                <w:szCs w:val="16"/>
                                <w:lang w:val="zh-CN"/>
                              </w:rPr>
                              <w:t>系统有限公司---</w:t>
                            </w:r>
                            <w:r>
                              <w:rPr>
                                <w:rFonts w:hint="eastAsia" w:ascii="宋体" w:hAnsi="宋体" w:cs="宋体"/>
                                <w:b/>
                                <w:color w:val="000000"/>
                                <w:kern w:val="0"/>
                                <w:sz w:val="16"/>
                                <w:szCs w:val="16"/>
                                <w:lang w:val="zh-CN"/>
                              </w:rPr>
                              <w:t>内外饰研究院</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等。</w:t>
                            </w:r>
                          </w:p>
                        </w:txbxContent>
                      </wps:txbx>
                      <wps:bodyPr rot="0" vert="horz" wrap="square" lIns="91440" tIns="45720" rIns="91440" bIns="45720" anchor="t" anchorCtr="0" upright="1">
                        <a:noAutofit/>
                      </wps:bodyPr>
                    </wps:wsp>
                  </a:graphicData>
                </a:graphic>
              </wp:anchor>
            </w:drawing>
          </mc:Choice>
          <mc:Fallback>
            <w:pict>
              <v:shape id="_x0000_s1026" o:spid="_x0000_s1026" o:spt="62" type="#_x0000_t62" style="position:absolute;left:0pt;margin-left:289.2pt;margin-top:641.8pt;height:56.35pt;width:276.75pt;z-index:251670528;mso-width-relative:page;mso-height-relative:page;" fillcolor="#FFFFFF" filled="t" stroked="t" coordsize="21600,21600" o:gfxdata="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" adj="3891,39941,14400">
                <v:fill on="t" focussize="0,0"/>
                <v:stroke weight="1.5pt" color="#000000" miterlimit="8" joinstyle="miter"/>
                <v:imagedata o:title=""/>
                <o:lock v:ext="edit" aspectratio="f"/>
                <v:textbox>
                  <w:txbxContent>
                    <w:p w14:paraId="66E29EE1">
                      <w:pPr>
                        <w:autoSpaceDE w:val="0"/>
                        <w:autoSpaceDN w:val="0"/>
                        <w:adjustRightInd w:val="0"/>
                        <w:jc w:val="left"/>
                        <w:rPr>
                          <w:rFonts w:ascii="宋体" w:hAnsi="宋体" w:cs="黑体"/>
                          <w:b/>
                          <w:bCs/>
                          <w:color w:val="000000"/>
                          <w:kern w:val="0"/>
                          <w:sz w:val="16"/>
                          <w:szCs w:val="16"/>
                          <w:lang w:val="zh-CN"/>
                        </w:rPr>
                      </w:pPr>
                      <w:r>
                        <w:rPr>
                          <w:rFonts w:hint="eastAsia" w:ascii="宋体" w:hAnsi="宋体" w:cs="宋体"/>
                          <w:b/>
                          <w:color w:val="000000"/>
                          <w:kern w:val="0"/>
                          <w:sz w:val="16"/>
                          <w:szCs w:val="16"/>
                          <w:lang w:val="zh-CN"/>
                        </w:rPr>
                        <w:t>发布部门：</w:t>
                      </w:r>
                      <w:r>
                        <w:rPr>
                          <w:rFonts w:ascii="宋体" w:hAnsi="宋体" w:cs="宋体"/>
                          <w:b/>
                          <w:color w:val="000000"/>
                          <w:kern w:val="0"/>
                          <w:sz w:val="16"/>
                          <w:szCs w:val="16"/>
                          <w:lang w:val="zh-CN"/>
                        </w:rPr>
                        <w:t>集团</w:t>
                      </w:r>
                      <w:r>
                        <w:rPr>
                          <w:rFonts w:hint="eastAsia" w:ascii="宋体" w:hAnsi="宋体" w:cs="宋体"/>
                          <w:b/>
                          <w:color w:val="000000"/>
                          <w:kern w:val="0"/>
                          <w:sz w:val="16"/>
                          <w:szCs w:val="16"/>
                          <w:lang w:val="zh-CN"/>
                        </w:rPr>
                        <w:t>级体系文件发布单位为</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诺博汽车</w:t>
                      </w:r>
                      <w:r>
                        <w:rPr>
                          <w:rFonts w:ascii="宋体" w:hAnsi="宋体" w:cs="宋体"/>
                          <w:b/>
                          <w:color w:val="000000"/>
                          <w:kern w:val="0"/>
                          <w:sz w:val="16"/>
                          <w:szCs w:val="16"/>
                          <w:lang w:val="zh-CN"/>
                        </w:rPr>
                        <w:t>系统有限公司”</w:t>
                      </w:r>
                      <w:r>
                        <w:rPr>
                          <w:rFonts w:hint="eastAsia" w:ascii="宋体" w:hAnsi="宋体" w:cs="宋体"/>
                          <w:b/>
                          <w:color w:val="000000"/>
                          <w:kern w:val="0"/>
                          <w:sz w:val="16"/>
                          <w:szCs w:val="16"/>
                          <w:lang w:val="zh-CN"/>
                        </w:rPr>
                        <w:t>，公司级体系文件发布单位为</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诺博汽车</w:t>
                      </w:r>
                      <w:r>
                        <w:rPr>
                          <w:rFonts w:ascii="宋体" w:hAnsi="宋体" w:cs="宋体"/>
                          <w:b/>
                          <w:color w:val="000000"/>
                          <w:kern w:val="0"/>
                          <w:sz w:val="16"/>
                          <w:szCs w:val="16"/>
                          <w:lang w:val="zh-CN"/>
                        </w:rPr>
                        <w:t>系统有限公司---</w:t>
                      </w:r>
                      <w:r>
                        <w:rPr>
                          <w:rFonts w:hint="eastAsia" w:ascii="宋体" w:hAnsi="宋体" w:cs="宋体"/>
                          <w:b/>
                          <w:color w:val="000000"/>
                          <w:kern w:val="0"/>
                          <w:sz w:val="16"/>
                          <w:szCs w:val="16"/>
                          <w:lang w:val="zh-CN"/>
                        </w:rPr>
                        <w:t>本公司名称</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，如</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诺博汽车</w:t>
                      </w:r>
                      <w:r>
                        <w:rPr>
                          <w:rFonts w:ascii="宋体" w:hAnsi="宋体" w:cs="宋体"/>
                          <w:b/>
                          <w:color w:val="000000"/>
                          <w:kern w:val="0"/>
                          <w:sz w:val="16"/>
                          <w:szCs w:val="16"/>
                          <w:lang w:val="zh-CN"/>
                        </w:rPr>
                        <w:t>系统有限公司---</w:t>
                      </w:r>
                      <w:r>
                        <w:rPr>
                          <w:rFonts w:hint="eastAsia" w:ascii="宋体" w:hAnsi="宋体" w:cs="宋体"/>
                          <w:b/>
                          <w:color w:val="000000"/>
                          <w:kern w:val="0"/>
                          <w:sz w:val="16"/>
                          <w:szCs w:val="16"/>
                          <w:lang w:val="zh-CN"/>
                        </w:rPr>
                        <w:t>内外饰研究院</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等。</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3672840</wp:posOffset>
                </wp:positionH>
                <wp:positionV relativeFrom="paragraph">
                  <wp:posOffset>8150860</wp:posOffset>
                </wp:positionV>
                <wp:extent cx="3514725" cy="715645"/>
                <wp:effectExtent l="9525" t="9525" r="19050" b="627380"/>
                <wp:wrapNone/>
                <wp:docPr id="1429114791" name="圆角矩形标注 1429114791"/>
                <wp:cNvGraphicFramePr/>
                <a:graphic xmlns:a="http://schemas.openxmlformats.org/drawingml/2006/main">
                  <a:graphicData uri="http://schemas.microsoft.com/office/word/2010/wordprocessingShape">
                    <wps:wsp>
                      <wps:cNvSpPr>
                        <a:spLocks noChangeArrowheads="1"/>
                      </wps:cNvSpPr>
                      <wps:spPr bwMode="auto">
                        <a:xfrm>
                          <a:off x="0" y="0"/>
                          <a:ext cx="3514725" cy="715645"/>
                        </a:xfrm>
                        <a:prstGeom prst="wedgeRoundRectCallout">
                          <a:avLst>
                            <a:gd name="adj1" fmla="val -31986"/>
                            <a:gd name="adj2" fmla="val 134913"/>
                            <a:gd name="adj3" fmla="val 16667"/>
                          </a:avLst>
                        </a:prstGeom>
                        <a:solidFill>
                          <a:srgbClr val="FFFFFF"/>
                        </a:solidFill>
                        <a:ln w="19050">
                          <a:solidFill>
                            <a:sysClr val="windowText" lastClr="000000">
                              <a:lumMod val="100000"/>
                              <a:lumOff val="0"/>
                            </a:sysClr>
                          </a:solidFill>
                          <a:miter lim="800000"/>
                        </a:ln>
                        <a:effectLst/>
                      </wps:spPr>
                      <wps:txbx>
                        <w:txbxContent>
                          <w:p w14:paraId="4FBA0EF6">
                            <w:pPr>
                              <w:autoSpaceDE w:val="0"/>
                              <w:autoSpaceDN w:val="0"/>
                              <w:adjustRightInd w:val="0"/>
                              <w:jc w:val="left"/>
                              <w:rPr>
                                <w:rFonts w:ascii="宋体" w:hAnsi="宋体" w:cs="黑体"/>
                                <w:b/>
                                <w:bCs/>
                                <w:color w:val="000000"/>
                                <w:kern w:val="0"/>
                                <w:sz w:val="16"/>
                                <w:szCs w:val="16"/>
                                <w:lang w:val="zh-CN"/>
                              </w:rPr>
                            </w:pPr>
                            <w:r>
                              <w:rPr>
                                <w:rFonts w:hint="eastAsia" w:ascii="宋体" w:hAnsi="宋体" w:cs="宋体"/>
                                <w:b/>
                                <w:color w:val="000000"/>
                                <w:kern w:val="0"/>
                                <w:sz w:val="16"/>
                                <w:szCs w:val="16"/>
                                <w:lang w:val="zh-CN"/>
                              </w:rPr>
                              <w:t>发布部门：</w:t>
                            </w:r>
                            <w:r>
                              <w:rPr>
                                <w:rFonts w:ascii="宋体" w:hAnsi="宋体" w:cs="宋体"/>
                                <w:b/>
                                <w:color w:val="000000"/>
                                <w:kern w:val="0"/>
                                <w:sz w:val="16"/>
                                <w:szCs w:val="16"/>
                                <w:lang w:val="zh-CN"/>
                              </w:rPr>
                              <w:t>集团</w:t>
                            </w:r>
                            <w:r>
                              <w:rPr>
                                <w:rFonts w:hint="eastAsia" w:ascii="宋体" w:hAnsi="宋体" w:cs="宋体"/>
                                <w:b/>
                                <w:color w:val="000000"/>
                                <w:kern w:val="0"/>
                                <w:sz w:val="16"/>
                                <w:szCs w:val="16"/>
                                <w:lang w:val="zh-CN"/>
                              </w:rPr>
                              <w:t>级体系文件发布单位为</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诺博汽车</w:t>
                            </w:r>
                            <w:r>
                              <w:rPr>
                                <w:rFonts w:ascii="宋体" w:hAnsi="宋体" w:cs="宋体"/>
                                <w:b/>
                                <w:color w:val="000000"/>
                                <w:kern w:val="0"/>
                                <w:sz w:val="16"/>
                                <w:szCs w:val="16"/>
                                <w:lang w:val="zh-CN"/>
                              </w:rPr>
                              <w:t>系统有限公司”</w:t>
                            </w:r>
                            <w:r>
                              <w:rPr>
                                <w:rFonts w:hint="eastAsia" w:ascii="宋体" w:hAnsi="宋体" w:cs="宋体"/>
                                <w:b/>
                                <w:color w:val="000000"/>
                                <w:kern w:val="0"/>
                                <w:sz w:val="16"/>
                                <w:szCs w:val="16"/>
                                <w:lang w:val="zh-CN"/>
                              </w:rPr>
                              <w:t>，公司级体系文件发布单位为</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诺博汽车</w:t>
                            </w:r>
                            <w:r>
                              <w:rPr>
                                <w:rFonts w:ascii="宋体" w:hAnsi="宋体" w:cs="宋体"/>
                                <w:b/>
                                <w:color w:val="000000"/>
                                <w:kern w:val="0"/>
                                <w:sz w:val="16"/>
                                <w:szCs w:val="16"/>
                                <w:lang w:val="zh-CN"/>
                              </w:rPr>
                              <w:t>系统有限公司---</w:t>
                            </w:r>
                            <w:r>
                              <w:rPr>
                                <w:rFonts w:hint="eastAsia" w:ascii="宋体" w:hAnsi="宋体" w:cs="宋体"/>
                                <w:b/>
                                <w:color w:val="000000"/>
                                <w:kern w:val="0"/>
                                <w:sz w:val="16"/>
                                <w:szCs w:val="16"/>
                                <w:lang w:val="zh-CN"/>
                              </w:rPr>
                              <w:t>本公司名称</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，如</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诺博汽车</w:t>
                            </w:r>
                            <w:r>
                              <w:rPr>
                                <w:rFonts w:ascii="宋体" w:hAnsi="宋体" w:cs="宋体"/>
                                <w:b/>
                                <w:color w:val="000000"/>
                                <w:kern w:val="0"/>
                                <w:sz w:val="16"/>
                                <w:szCs w:val="16"/>
                                <w:lang w:val="zh-CN"/>
                              </w:rPr>
                              <w:t>系统有限公司---</w:t>
                            </w:r>
                            <w:r>
                              <w:rPr>
                                <w:rFonts w:hint="eastAsia" w:ascii="宋体" w:hAnsi="宋体" w:cs="宋体"/>
                                <w:b/>
                                <w:color w:val="000000"/>
                                <w:kern w:val="0"/>
                                <w:sz w:val="16"/>
                                <w:szCs w:val="16"/>
                                <w:lang w:val="zh-CN"/>
                              </w:rPr>
                              <w:t>内外饰研究院</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等。</w:t>
                            </w:r>
                          </w:p>
                        </w:txbxContent>
                      </wps:txbx>
                      <wps:bodyPr rot="0" vert="horz" wrap="square" lIns="91440" tIns="45720" rIns="91440" bIns="45720" anchor="t" anchorCtr="0" upright="1">
                        <a:noAutofit/>
                      </wps:bodyPr>
                    </wps:wsp>
                  </a:graphicData>
                </a:graphic>
              </wp:anchor>
            </w:drawing>
          </mc:Choice>
          <mc:Fallback>
            <w:pict>
              <v:shape id="_x0000_s1026" o:spid="_x0000_s1026" o:spt="62" type="#_x0000_t62" style="position:absolute;left:0pt;margin-left:289.2pt;margin-top:641.8pt;height:56.35pt;width:276.75pt;z-index:251669504;mso-width-relative:page;mso-height-relative:page;" fillcolor="#FFFFFF" filled="t" stroked="t" coordsize="21600,21600" o:gfxdata="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" adj="3891,39941,14400">
                <v:fill on="t" focussize="0,0"/>
                <v:stroke weight="1.5pt" color="#000000" miterlimit="8" joinstyle="miter"/>
                <v:imagedata o:title=""/>
                <o:lock v:ext="edit" aspectratio="f"/>
                <v:textbox>
                  <w:txbxContent>
                    <w:p w14:paraId="4FBA0EF6">
                      <w:pPr>
                        <w:autoSpaceDE w:val="0"/>
                        <w:autoSpaceDN w:val="0"/>
                        <w:adjustRightInd w:val="0"/>
                        <w:jc w:val="left"/>
                        <w:rPr>
                          <w:rFonts w:ascii="宋体" w:hAnsi="宋体" w:cs="黑体"/>
                          <w:b/>
                          <w:bCs/>
                          <w:color w:val="000000"/>
                          <w:kern w:val="0"/>
                          <w:sz w:val="16"/>
                          <w:szCs w:val="16"/>
                          <w:lang w:val="zh-CN"/>
                        </w:rPr>
                      </w:pPr>
                      <w:r>
                        <w:rPr>
                          <w:rFonts w:hint="eastAsia" w:ascii="宋体" w:hAnsi="宋体" w:cs="宋体"/>
                          <w:b/>
                          <w:color w:val="000000"/>
                          <w:kern w:val="0"/>
                          <w:sz w:val="16"/>
                          <w:szCs w:val="16"/>
                          <w:lang w:val="zh-CN"/>
                        </w:rPr>
                        <w:t>发布部门：</w:t>
                      </w:r>
                      <w:r>
                        <w:rPr>
                          <w:rFonts w:ascii="宋体" w:hAnsi="宋体" w:cs="宋体"/>
                          <w:b/>
                          <w:color w:val="000000"/>
                          <w:kern w:val="0"/>
                          <w:sz w:val="16"/>
                          <w:szCs w:val="16"/>
                          <w:lang w:val="zh-CN"/>
                        </w:rPr>
                        <w:t>集团</w:t>
                      </w:r>
                      <w:r>
                        <w:rPr>
                          <w:rFonts w:hint="eastAsia" w:ascii="宋体" w:hAnsi="宋体" w:cs="宋体"/>
                          <w:b/>
                          <w:color w:val="000000"/>
                          <w:kern w:val="0"/>
                          <w:sz w:val="16"/>
                          <w:szCs w:val="16"/>
                          <w:lang w:val="zh-CN"/>
                        </w:rPr>
                        <w:t>级体系文件发布单位为</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诺博汽车</w:t>
                      </w:r>
                      <w:r>
                        <w:rPr>
                          <w:rFonts w:ascii="宋体" w:hAnsi="宋体" w:cs="宋体"/>
                          <w:b/>
                          <w:color w:val="000000"/>
                          <w:kern w:val="0"/>
                          <w:sz w:val="16"/>
                          <w:szCs w:val="16"/>
                          <w:lang w:val="zh-CN"/>
                        </w:rPr>
                        <w:t>系统有限公司”</w:t>
                      </w:r>
                      <w:r>
                        <w:rPr>
                          <w:rFonts w:hint="eastAsia" w:ascii="宋体" w:hAnsi="宋体" w:cs="宋体"/>
                          <w:b/>
                          <w:color w:val="000000"/>
                          <w:kern w:val="0"/>
                          <w:sz w:val="16"/>
                          <w:szCs w:val="16"/>
                          <w:lang w:val="zh-CN"/>
                        </w:rPr>
                        <w:t>，公司级体系文件发布单位为</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诺博汽车</w:t>
                      </w:r>
                      <w:r>
                        <w:rPr>
                          <w:rFonts w:ascii="宋体" w:hAnsi="宋体" w:cs="宋体"/>
                          <w:b/>
                          <w:color w:val="000000"/>
                          <w:kern w:val="0"/>
                          <w:sz w:val="16"/>
                          <w:szCs w:val="16"/>
                          <w:lang w:val="zh-CN"/>
                        </w:rPr>
                        <w:t>系统有限公司---</w:t>
                      </w:r>
                      <w:r>
                        <w:rPr>
                          <w:rFonts w:hint="eastAsia" w:ascii="宋体" w:hAnsi="宋体" w:cs="宋体"/>
                          <w:b/>
                          <w:color w:val="000000"/>
                          <w:kern w:val="0"/>
                          <w:sz w:val="16"/>
                          <w:szCs w:val="16"/>
                          <w:lang w:val="zh-CN"/>
                        </w:rPr>
                        <w:t>本公司名称</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，如</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诺博汽车</w:t>
                      </w:r>
                      <w:r>
                        <w:rPr>
                          <w:rFonts w:ascii="宋体" w:hAnsi="宋体" w:cs="宋体"/>
                          <w:b/>
                          <w:color w:val="000000"/>
                          <w:kern w:val="0"/>
                          <w:sz w:val="16"/>
                          <w:szCs w:val="16"/>
                          <w:lang w:val="zh-CN"/>
                        </w:rPr>
                        <w:t>系统有限公司---</w:t>
                      </w:r>
                      <w:r>
                        <w:rPr>
                          <w:rFonts w:hint="eastAsia" w:ascii="宋体" w:hAnsi="宋体" w:cs="宋体"/>
                          <w:b/>
                          <w:color w:val="000000"/>
                          <w:kern w:val="0"/>
                          <w:sz w:val="16"/>
                          <w:szCs w:val="16"/>
                          <w:lang w:val="zh-CN"/>
                        </w:rPr>
                        <w:t>内外饰研究院</w:t>
                      </w:r>
                      <w:r>
                        <w:rPr>
                          <w:rFonts w:ascii="宋体" w:hAnsi="宋体" w:cs="宋体"/>
                          <w:b/>
                          <w:color w:val="000000"/>
                          <w:kern w:val="0"/>
                          <w:sz w:val="16"/>
                          <w:szCs w:val="16"/>
                          <w:lang w:val="zh-CN"/>
                        </w:rPr>
                        <w:t>”</w:t>
                      </w:r>
                      <w:r>
                        <w:rPr>
                          <w:rFonts w:hint="eastAsia" w:ascii="宋体" w:hAnsi="宋体" w:cs="宋体"/>
                          <w:b/>
                          <w:color w:val="000000"/>
                          <w:kern w:val="0"/>
                          <w:sz w:val="16"/>
                          <w:szCs w:val="16"/>
                          <w:lang w:val="zh-CN"/>
                        </w:rPr>
                        <w:t>等。</w:t>
                      </w:r>
                    </w:p>
                  </w:txbxContent>
                </v:textbox>
              </v:shape>
            </w:pict>
          </mc:Fallback>
        </mc:AlternateContent>
      </w:r>
    </w:p>
    <w:p w14:paraId="24DAF699">
      <w:pPr>
        <w:ind w:firstLine="2100" w:firstLineChars="1000"/>
        <w:rPr>
          <w:b/>
          <w:bCs/>
          <w:sz w:val="44"/>
        </w:rPr>
      </w:pPr>
      <w:r>
        <mc:AlternateContent>
          <mc:Choice Requires="wps">
            <w:drawing>
              <wp:anchor distT="0" distB="0" distL="114300" distR="114300" simplePos="0" relativeHeight="251660288" behindDoc="0" locked="0" layoutInCell="1" allowOverlap="1">
                <wp:simplePos x="0" y="0"/>
                <wp:positionH relativeFrom="column">
                  <wp:posOffset>654050</wp:posOffset>
                </wp:positionH>
                <wp:positionV relativeFrom="paragraph">
                  <wp:posOffset>129540</wp:posOffset>
                </wp:positionV>
                <wp:extent cx="4495800" cy="1024890"/>
                <wp:effectExtent l="0" t="0" r="0" b="3810"/>
                <wp:wrapNone/>
                <wp:docPr id="284973400" name="文本框 284973400"/>
                <wp:cNvGraphicFramePr/>
                <a:graphic xmlns:a="http://schemas.openxmlformats.org/drawingml/2006/main">
                  <a:graphicData uri="http://schemas.microsoft.com/office/word/2010/wordprocessingShape">
                    <wps:wsp>
                      <wps:cNvSpPr txBox="1">
                        <a:spLocks noChangeArrowheads="1"/>
                      </wps:cNvSpPr>
                      <wps:spPr bwMode="auto">
                        <a:xfrm>
                          <a:off x="0" y="0"/>
                          <a:ext cx="4495800" cy="1024890"/>
                        </a:xfrm>
                        <a:prstGeom prst="rect">
                          <a:avLst/>
                        </a:prstGeom>
                        <a:solidFill>
                          <a:srgbClr val="FFFFFF"/>
                        </a:solidFill>
                        <a:ln>
                          <a:noFill/>
                        </a:ln>
                        <a:effectLst/>
                      </wps:spPr>
                      <wps:txbx>
                        <w:txbxContent>
                          <w:p w14:paraId="2C023188">
                            <w:pPr>
                              <w:jc w:val="center"/>
                              <w:rPr>
                                <w:b/>
                                <w:bCs/>
                                <w:sz w:val="52"/>
                                <w:szCs w:val="52"/>
                              </w:rPr>
                            </w:pPr>
                            <w:r>
                              <w:rPr>
                                <w:rFonts w:hint="eastAsia" w:ascii="微软雅黑" w:eastAsia="微软雅黑" w:cs="微软雅黑"/>
                                <w:b/>
                                <w:bCs/>
                                <w:color w:val="000000"/>
                                <w:kern w:val="0"/>
                                <w:sz w:val="52"/>
                                <w:szCs w:val="52"/>
                                <w:lang w:val="en-US" w:eastAsia="zh-CN"/>
                              </w:rPr>
                              <w:t>ASI绩效标准管理</w:t>
                            </w:r>
                            <w:r>
                              <w:rPr>
                                <w:rFonts w:hint="eastAsia" w:ascii="微软雅黑" w:eastAsia="微软雅黑" w:cs="微软雅黑"/>
                                <w:b/>
                                <w:bCs/>
                                <w:color w:val="000000"/>
                                <w:kern w:val="0"/>
                                <w:sz w:val="52"/>
                                <w:szCs w:val="52"/>
                                <w:lang w:val="zh-CN"/>
                              </w:rPr>
                              <w:t>手册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1.5pt;margin-top:10.2pt;height:80.7pt;width:354pt;z-index:251660288;mso-width-relative:page;mso-height-relative:page;" fillcolor="#FFFFFF" filled="t" stroked="f" coordsize="21600,21600" o:gfxdata="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MJaDOnXAAAACgEAAA8AAAAAAAAAAQAgAAAAIgAAAGRycy9kb3du&#10;cmV2LnhtbFBLAQIUABQAAAAIAIdO4kB5xH9YOQIAAF0EAAAOAAAAAAAAAAEAIAAAACYBAABkcnMv&#10;ZTJvRG9jLnhtbFBLBQYAAAAABgAGAFkBAADRBQAAAAA=&#10;">
                <v:fill on="t" focussize="0,0"/>
                <v:stroke on="f"/>
                <v:imagedata o:title=""/>
                <o:lock v:ext="edit" aspectratio="f"/>
                <v:textbox>
                  <w:txbxContent>
                    <w:p w14:paraId="2C023188">
                      <w:pPr>
                        <w:jc w:val="center"/>
                        <w:rPr>
                          <w:b/>
                          <w:bCs/>
                          <w:sz w:val="52"/>
                          <w:szCs w:val="52"/>
                        </w:rPr>
                      </w:pPr>
                      <w:r>
                        <w:rPr>
                          <w:rFonts w:hint="eastAsia" w:ascii="微软雅黑" w:eastAsia="微软雅黑" w:cs="微软雅黑"/>
                          <w:b/>
                          <w:bCs/>
                          <w:color w:val="000000"/>
                          <w:kern w:val="0"/>
                          <w:sz w:val="52"/>
                          <w:szCs w:val="52"/>
                          <w:lang w:val="en-US" w:eastAsia="zh-CN"/>
                        </w:rPr>
                        <w:t>ASI绩效标准管理</w:t>
                      </w:r>
                      <w:r>
                        <w:rPr>
                          <w:rFonts w:hint="eastAsia" w:ascii="微软雅黑" w:eastAsia="微软雅黑" w:cs="微软雅黑"/>
                          <w:b/>
                          <w:bCs/>
                          <w:color w:val="000000"/>
                          <w:kern w:val="0"/>
                          <w:sz w:val="52"/>
                          <w:szCs w:val="52"/>
                          <w:lang w:val="zh-CN"/>
                        </w:rPr>
                        <w:t>手册</w:t>
                      </w:r>
                    </w:p>
                  </w:txbxContent>
                </v:textbox>
              </v:shape>
            </w:pict>
          </mc:Fallback>
        </mc:AlternateContent>
      </w:r>
    </w:p>
    <w:p w14:paraId="0A841858">
      <w:pPr>
        <w:adjustRightInd w:val="0"/>
        <w:snapToGrid w:val="0"/>
        <w:spacing w:line="480" w:lineRule="auto"/>
        <w:ind w:firstLine="2891" w:firstLineChars="900"/>
        <w:jc w:val="left"/>
        <w:rPr>
          <w:b/>
          <w:bCs/>
          <w:sz w:val="32"/>
        </w:rPr>
      </w:pPr>
    </w:p>
    <w:p w14:paraId="48D055BC">
      <w:pPr>
        <w:adjustRightInd w:val="0"/>
        <w:snapToGrid w:val="0"/>
        <w:spacing w:line="480" w:lineRule="auto"/>
        <w:ind w:firstLine="1890" w:firstLineChars="900"/>
        <w:jc w:val="left"/>
      </w:pPr>
    </w:p>
    <w:p w14:paraId="50566E5F">
      <w:pPr>
        <w:adjustRightInd w:val="0"/>
        <w:snapToGrid w:val="0"/>
        <w:spacing w:line="480" w:lineRule="auto"/>
        <w:ind w:firstLine="1890" w:firstLineChars="900"/>
        <w:jc w:val="left"/>
        <w:rPr>
          <w:b/>
          <w:bCs/>
          <w:sz w:val="32"/>
        </w:rPr>
      </w:pPr>
      <w:r>
        <mc:AlternateContent>
          <mc:Choice Requires="wps">
            <w:drawing>
              <wp:anchor distT="0" distB="0" distL="114300" distR="114300" simplePos="0" relativeHeight="251659264" behindDoc="0" locked="0" layoutInCell="1" allowOverlap="1">
                <wp:simplePos x="0" y="0"/>
                <wp:positionH relativeFrom="page">
                  <wp:posOffset>1924050</wp:posOffset>
                </wp:positionH>
                <wp:positionV relativeFrom="paragraph">
                  <wp:posOffset>404495</wp:posOffset>
                </wp:positionV>
                <wp:extent cx="4203700" cy="3085465"/>
                <wp:effectExtent l="4445" t="5080" r="20955" b="14605"/>
                <wp:wrapNone/>
                <wp:docPr id="53599057" name="矩形 53599057"/>
                <wp:cNvGraphicFramePr/>
                <a:graphic xmlns:a="http://schemas.openxmlformats.org/drawingml/2006/main">
                  <a:graphicData uri="http://schemas.microsoft.com/office/word/2010/wordprocessingShape">
                    <wps:wsp>
                      <wps:cNvSpPr>
                        <a:spLocks noChangeArrowheads="1"/>
                      </wps:cNvSpPr>
                      <wps:spPr bwMode="auto">
                        <a:xfrm>
                          <a:off x="0" y="0"/>
                          <a:ext cx="4203700" cy="3085376"/>
                        </a:xfrm>
                        <a:prstGeom prst="rect">
                          <a:avLst/>
                        </a:prstGeom>
                        <a:solidFill>
                          <a:srgbClr val="FFFFFF"/>
                        </a:solidFill>
                        <a:ln w="9525">
                          <a:solidFill>
                            <a:sysClr val="window" lastClr="FFFFFF">
                              <a:lumMod val="100000"/>
                              <a:lumOff val="0"/>
                            </a:sysClr>
                          </a:solidFill>
                          <a:miter lim="800000"/>
                        </a:ln>
                        <a:effectLst/>
                      </wps:spPr>
                      <wps:txbx>
                        <w:txbxContent>
                          <w:p w14:paraId="6DEE75A4">
                            <w:pPr>
                              <w:spacing w:line="380" w:lineRule="exact"/>
                              <w:ind w:firstLine="643" w:firstLineChars="200"/>
                              <w:rPr>
                                <w:rFonts w:ascii="宋体" w:hAnsi="宋体"/>
                                <w:b/>
                                <w:sz w:val="32"/>
                                <w:szCs w:val="32"/>
                              </w:rPr>
                            </w:pPr>
                          </w:p>
                          <w:p w14:paraId="752A33B2">
                            <w:pPr>
                              <w:spacing w:line="380" w:lineRule="exact"/>
                              <w:ind w:firstLine="640" w:firstLineChars="200"/>
                              <w:rPr>
                                <w:rFonts w:ascii="微软雅黑" w:hAnsi="微软雅黑" w:eastAsia="微软雅黑"/>
                                <w:b/>
                                <w:sz w:val="32"/>
                                <w:szCs w:val="32"/>
                              </w:rPr>
                            </w:pPr>
                          </w:p>
                          <w:p w14:paraId="49FE9C1D">
                            <w:pPr>
                              <w:spacing w:line="380" w:lineRule="exact"/>
                              <w:ind w:firstLine="627" w:firstLineChars="196"/>
                              <w:rPr>
                                <w:rFonts w:ascii="微软雅黑" w:hAnsi="微软雅黑" w:eastAsia="微软雅黑"/>
                                <w:sz w:val="32"/>
                                <w:szCs w:val="32"/>
                              </w:rPr>
                            </w:pPr>
                            <w:r>
                              <w:rPr>
                                <w:rFonts w:hint="eastAsia" w:ascii="微软雅黑" w:hAnsi="微软雅黑" w:eastAsia="微软雅黑"/>
                                <w:sz w:val="32"/>
                                <w:szCs w:val="32"/>
                              </w:rPr>
                              <w:t>编  制</w:t>
                            </w:r>
                          </w:p>
                          <w:p w14:paraId="7F29CB68">
                            <w:pPr>
                              <w:spacing w:line="380" w:lineRule="exact"/>
                              <w:ind w:firstLine="628" w:firstLineChars="196"/>
                              <w:rPr>
                                <w:rFonts w:ascii="微软雅黑" w:hAnsi="微软雅黑" w:eastAsia="微软雅黑"/>
                                <w:b/>
                                <w:sz w:val="32"/>
                                <w:szCs w:val="32"/>
                              </w:rPr>
                            </w:pPr>
                          </w:p>
                          <w:p w14:paraId="5C90E1FC">
                            <w:pPr>
                              <w:spacing w:line="380" w:lineRule="exact"/>
                              <w:ind w:firstLine="320" w:firstLineChars="100"/>
                              <w:rPr>
                                <w:rFonts w:ascii="微软雅黑" w:hAnsi="微软雅黑" w:eastAsia="微软雅黑"/>
                                <w:b/>
                                <w:sz w:val="32"/>
                                <w:szCs w:val="32"/>
                              </w:rPr>
                            </w:pPr>
                          </w:p>
                          <w:p w14:paraId="7803AC2D">
                            <w:pPr>
                              <w:spacing w:line="380" w:lineRule="exact"/>
                              <w:ind w:firstLine="640" w:firstLineChars="200"/>
                              <w:rPr>
                                <w:rFonts w:ascii="微软雅黑" w:hAnsi="微软雅黑" w:eastAsia="微软雅黑"/>
                                <w:sz w:val="32"/>
                                <w:szCs w:val="32"/>
                              </w:rPr>
                            </w:pPr>
                            <w:r>
                              <w:rPr>
                                <w:rFonts w:hint="eastAsia" w:ascii="微软雅黑" w:hAnsi="微软雅黑" w:eastAsia="微软雅黑"/>
                                <w:sz w:val="32"/>
                                <w:szCs w:val="32"/>
                              </w:rPr>
                              <w:t>审  核</w:t>
                            </w:r>
                          </w:p>
                          <w:p w14:paraId="140C2918">
                            <w:pPr>
                              <w:spacing w:line="380" w:lineRule="exact"/>
                              <w:ind w:firstLine="640" w:firstLineChars="200"/>
                              <w:rPr>
                                <w:rFonts w:ascii="微软雅黑" w:hAnsi="微软雅黑" w:eastAsia="微软雅黑"/>
                                <w:b/>
                                <w:sz w:val="32"/>
                                <w:szCs w:val="32"/>
                              </w:rPr>
                            </w:pPr>
                          </w:p>
                          <w:p w14:paraId="093BAAE2">
                            <w:pPr>
                              <w:spacing w:line="420" w:lineRule="exact"/>
                              <w:rPr>
                                <w:rFonts w:ascii="微软雅黑" w:hAnsi="微软雅黑" w:eastAsia="微软雅黑"/>
                                <w:bCs/>
                                <w:sz w:val="32"/>
                              </w:rPr>
                            </w:pPr>
                          </w:p>
                          <w:p w14:paraId="4E496661">
                            <w:pPr>
                              <w:spacing w:line="380" w:lineRule="exact"/>
                              <w:ind w:firstLine="640" w:firstLineChars="200"/>
                              <w:rPr>
                                <w:rFonts w:ascii="微软雅黑" w:hAnsi="微软雅黑" w:eastAsia="微软雅黑"/>
                                <w:sz w:val="32"/>
                                <w:szCs w:val="32"/>
                              </w:rPr>
                            </w:pPr>
                            <w:r>
                              <w:rPr>
                                <w:rFonts w:hint="eastAsia" w:ascii="微软雅黑" w:hAnsi="微软雅黑" w:eastAsia="微软雅黑"/>
                                <w:sz w:val="32"/>
                                <w:szCs w:val="32"/>
                              </w:rPr>
                              <w:t>批  准</w:t>
                            </w:r>
                          </w:p>
                          <w:p w14:paraId="46291591">
                            <w:pPr>
                              <w:spacing w:line="420" w:lineRule="exact"/>
                              <w:rPr>
                                <w:rFonts w:ascii="宋体" w:hAnsi="宋体"/>
                                <w:b/>
                                <w:sz w:val="32"/>
                                <w:szCs w:val="32"/>
                              </w:rPr>
                            </w:pPr>
                          </w:p>
                          <w:p w14:paraId="55769B97">
                            <w:pPr>
                              <w:spacing w:line="420" w:lineRule="exact"/>
                              <w:ind w:firstLine="803" w:firstLineChars="250"/>
                              <w:rPr>
                                <w:rFonts w:ascii="宋体" w:hAnsi="宋体"/>
                                <w:b/>
                                <w:sz w:val="32"/>
                                <w:szCs w:val="32"/>
                              </w:rPr>
                            </w:pPr>
                          </w:p>
                          <w:p w14:paraId="15410439">
                            <w:pPr>
                              <w:spacing w:line="420" w:lineRule="exact"/>
                              <w:ind w:firstLine="643" w:firstLineChars="200"/>
                              <w:rPr>
                                <w:rFonts w:ascii="宋体" w:hAnsi="宋体"/>
                                <w:b/>
                                <w:sz w:val="32"/>
                                <w:szCs w:val="32"/>
                              </w:rPr>
                            </w:pPr>
                          </w:p>
                          <w:p w14:paraId="4435BE70"/>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51.5pt;margin-top:31.85pt;height:242.95pt;width:331pt;mso-position-horizontal-relative:page;z-index:251659264;mso-width-relative:page;mso-height-relative:page;" fillcolor="#FFFFFF" filled="t" stroked="t" coordsize="21600,21600" o:gfxdata="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Tdc5z2QAAAAoBAAAPAAAAAAAAAAEAIAAAACIAAABkcnMvZG93bnJldi54&#10;bWxQSwECFAAUAAAACACHTuJAaLOD72sCAADcBAAADgAAAAAAAAABACAAAAAoAQAAZHJzL2Uyb0Rv&#10;Yy54bWxQSwUGAAAAAAYABgBZAQAABQYAAAAA&#10;">
                <v:fill on="t" focussize="0,0"/>
                <v:stroke color="#FFFFFF" miterlimit="8" joinstyle="miter"/>
                <v:imagedata o:title=""/>
                <o:lock v:ext="edit" aspectratio="f"/>
                <v:textbox>
                  <w:txbxContent>
                    <w:p w14:paraId="6DEE75A4">
                      <w:pPr>
                        <w:spacing w:line="380" w:lineRule="exact"/>
                        <w:ind w:firstLine="643" w:firstLineChars="200"/>
                        <w:rPr>
                          <w:rFonts w:ascii="宋体" w:hAnsi="宋体"/>
                          <w:b/>
                          <w:sz w:val="32"/>
                          <w:szCs w:val="32"/>
                        </w:rPr>
                      </w:pPr>
                    </w:p>
                    <w:p w14:paraId="752A33B2">
                      <w:pPr>
                        <w:spacing w:line="380" w:lineRule="exact"/>
                        <w:ind w:firstLine="640" w:firstLineChars="200"/>
                        <w:rPr>
                          <w:rFonts w:ascii="微软雅黑" w:hAnsi="微软雅黑" w:eastAsia="微软雅黑"/>
                          <w:b/>
                          <w:sz w:val="32"/>
                          <w:szCs w:val="32"/>
                        </w:rPr>
                      </w:pPr>
                    </w:p>
                    <w:p w14:paraId="49FE9C1D">
                      <w:pPr>
                        <w:spacing w:line="380" w:lineRule="exact"/>
                        <w:ind w:firstLine="627" w:firstLineChars="196"/>
                        <w:rPr>
                          <w:rFonts w:ascii="微软雅黑" w:hAnsi="微软雅黑" w:eastAsia="微软雅黑"/>
                          <w:sz w:val="32"/>
                          <w:szCs w:val="32"/>
                        </w:rPr>
                      </w:pPr>
                      <w:r>
                        <w:rPr>
                          <w:rFonts w:hint="eastAsia" w:ascii="微软雅黑" w:hAnsi="微软雅黑" w:eastAsia="微软雅黑"/>
                          <w:sz w:val="32"/>
                          <w:szCs w:val="32"/>
                        </w:rPr>
                        <w:t>编  制</w:t>
                      </w:r>
                    </w:p>
                    <w:p w14:paraId="7F29CB68">
                      <w:pPr>
                        <w:spacing w:line="380" w:lineRule="exact"/>
                        <w:ind w:firstLine="628" w:firstLineChars="196"/>
                        <w:rPr>
                          <w:rFonts w:ascii="微软雅黑" w:hAnsi="微软雅黑" w:eastAsia="微软雅黑"/>
                          <w:b/>
                          <w:sz w:val="32"/>
                          <w:szCs w:val="32"/>
                        </w:rPr>
                      </w:pPr>
                    </w:p>
                    <w:p w14:paraId="5C90E1FC">
                      <w:pPr>
                        <w:spacing w:line="380" w:lineRule="exact"/>
                        <w:ind w:firstLine="320" w:firstLineChars="100"/>
                        <w:rPr>
                          <w:rFonts w:ascii="微软雅黑" w:hAnsi="微软雅黑" w:eastAsia="微软雅黑"/>
                          <w:b/>
                          <w:sz w:val="32"/>
                          <w:szCs w:val="32"/>
                        </w:rPr>
                      </w:pPr>
                    </w:p>
                    <w:p w14:paraId="7803AC2D">
                      <w:pPr>
                        <w:spacing w:line="380" w:lineRule="exact"/>
                        <w:ind w:firstLine="640" w:firstLineChars="200"/>
                        <w:rPr>
                          <w:rFonts w:ascii="微软雅黑" w:hAnsi="微软雅黑" w:eastAsia="微软雅黑"/>
                          <w:sz w:val="32"/>
                          <w:szCs w:val="32"/>
                        </w:rPr>
                      </w:pPr>
                      <w:r>
                        <w:rPr>
                          <w:rFonts w:hint="eastAsia" w:ascii="微软雅黑" w:hAnsi="微软雅黑" w:eastAsia="微软雅黑"/>
                          <w:sz w:val="32"/>
                          <w:szCs w:val="32"/>
                        </w:rPr>
                        <w:t>审  核</w:t>
                      </w:r>
                    </w:p>
                    <w:p w14:paraId="140C2918">
                      <w:pPr>
                        <w:spacing w:line="380" w:lineRule="exact"/>
                        <w:ind w:firstLine="640" w:firstLineChars="200"/>
                        <w:rPr>
                          <w:rFonts w:ascii="微软雅黑" w:hAnsi="微软雅黑" w:eastAsia="微软雅黑"/>
                          <w:b/>
                          <w:sz w:val="32"/>
                          <w:szCs w:val="32"/>
                        </w:rPr>
                      </w:pPr>
                    </w:p>
                    <w:p w14:paraId="093BAAE2">
                      <w:pPr>
                        <w:spacing w:line="420" w:lineRule="exact"/>
                        <w:rPr>
                          <w:rFonts w:ascii="微软雅黑" w:hAnsi="微软雅黑" w:eastAsia="微软雅黑"/>
                          <w:bCs/>
                          <w:sz w:val="32"/>
                        </w:rPr>
                      </w:pPr>
                    </w:p>
                    <w:p w14:paraId="4E496661">
                      <w:pPr>
                        <w:spacing w:line="380" w:lineRule="exact"/>
                        <w:ind w:firstLine="640" w:firstLineChars="200"/>
                        <w:rPr>
                          <w:rFonts w:ascii="微软雅黑" w:hAnsi="微软雅黑" w:eastAsia="微软雅黑"/>
                          <w:sz w:val="32"/>
                          <w:szCs w:val="32"/>
                        </w:rPr>
                      </w:pPr>
                      <w:r>
                        <w:rPr>
                          <w:rFonts w:hint="eastAsia" w:ascii="微软雅黑" w:hAnsi="微软雅黑" w:eastAsia="微软雅黑"/>
                          <w:sz w:val="32"/>
                          <w:szCs w:val="32"/>
                        </w:rPr>
                        <w:t>批  准</w:t>
                      </w:r>
                    </w:p>
                    <w:p w14:paraId="46291591">
                      <w:pPr>
                        <w:spacing w:line="420" w:lineRule="exact"/>
                        <w:rPr>
                          <w:rFonts w:ascii="宋体" w:hAnsi="宋体"/>
                          <w:b/>
                          <w:sz w:val="32"/>
                          <w:szCs w:val="32"/>
                        </w:rPr>
                      </w:pPr>
                    </w:p>
                    <w:p w14:paraId="55769B97">
                      <w:pPr>
                        <w:spacing w:line="420" w:lineRule="exact"/>
                        <w:ind w:firstLine="803" w:firstLineChars="250"/>
                        <w:rPr>
                          <w:rFonts w:ascii="宋体" w:hAnsi="宋体"/>
                          <w:b/>
                          <w:sz w:val="32"/>
                          <w:szCs w:val="32"/>
                        </w:rPr>
                      </w:pPr>
                    </w:p>
                    <w:p w14:paraId="15410439">
                      <w:pPr>
                        <w:spacing w:line="420" w:lineRule="exact"/>
                        <w:ind w:firstLine="643" w:firstLineChars="200"/>
                        <w:rPr>
                          <w:rFonts w:ascii="宋体" w:hAnsi="宋体"/>
                          <w:b/>
                          <w:sz w:val="32"/>
                          <w:szCs w:val="32"/>
                        </w:rPr>
                      </w:pPr>
                    </w:p>
                    <w:p w14:paraId="4435BE70"/>
                  </w:txbxContent>
                </v:textbox>
              </v:rect>
            </w:pict>
          </mc:Fallback>
        </mc:AlternateContent>
      </w:r>
      <w:r>
        <mc:AlternateContent>
          <mc:Choice Requires="wps">
            <w:drawing>
              <wp:anchor distT="0" distB="0" distL="114300" distR="114300" simplePos="0" relativeHeight="251664384" behindDoc="0" locked="0" layoutInCell="1" allowOverlap="1">
                <wp:simplePos x="0" y="0"/>
                <wp:positionH relativeFrom="page">
                  <wp:posOffset>1924050</wp:posOffset>
                </wp:positionH>
                <wp:positionV relativeFrom="paragraph">
                  <wp:posOffset>33020</wp:posOffset>
                </wp:positionV>
                <wp:extent cx="4203700" cy="3084830"/>
                <wp:effectExtent l="4445" t="5080" r="20955" b="15240"/>
                <wp:wrapNone/>
                <wp:docPr id="7" name="矩形 7"/>
                <wp:cNvGraphicFramePr/>
                <a:graphic xmlns:a="http://schemas.openxmlformats.org/drawingml/2006/main">
                  <a:graphicData uri="http://schemas.microsoft.com/office/word/2010/wordprocessingShape">
                    <wps:wsp>
                      <wps:cNvSpPr>
                        <a:spLocks noChangeArrowheads="1"/>
                      </wps:cNvSpPr>
                      <wps:spPr bwMode="auto">
                        <a:xfrm>
                          <a:off x="0" y="0"/>
                          <a:ext cx="4203700" cy="3084830"/>
                        </a:xfrm>
                        <a:prstGeom prst="rect">
                          <a:avLst/>
                        </a:prstGeom>
                        <a:solidFill>
                          <a:srgbClr val="FFFFFF"/>
                        </a:solidFill>
                        <a:ln w="9525">
                          <a:solidFill>
                            <a:sysClr val="window" lastClr="FFFFFF">
                              <a:lumMod val="100000"/>
                              <a:lumOff val="0"/>
                            </a:sysClr>
                          </a:solidFill>
                          <a:miter lim="800000"/>
                        </a:ln>
                        <a:effectLst/>
                      </wps:spPr>
                      <wps:txbx>
                        <w:txbxContent>
                          <w:p w14:paraId="7CF35783">
                            <w:pPr>
                              <w:spacing w:line="380" w:lineRule="exact"/>
                              <w:ind w:firstLine="643" w:firstLineChars="200"/>
                              <w:rPr>
                                <w:rFonts w:ascii="宋体" w:hAnsi="宋体"/>
                                <w:b/>
                                <w:sz w:val="32"/>
                                <w:szCs w:val="32"/>
                              </w:rPr>
                            </w:pPr>
                          </w:p>
                          <w:p w14:paraId="44FBAF01">
                            <w:pPr>
                              <w:spacing w:line="380" w:lineRule="exact"/>
                              <w:ind w:firstLine="640" w:firstLineChars="200"/>
                              <w:rPr>
                                <w:rFonts w:ascii="微软雅黑" w:hAnsi="微软雅黑" w:eastAsia="微软雅黑"/>
                                <w:b/>
                                <w:sz w:val="32"/>
                                <w:szCs w:val="32"/>
                              </w:rPr>
                            </w:pPr>
                          </w:p>
                          <w:p w14:paraId="2B440B8D">
                            <w:pPr>
                              <w:spacing w:line="380" w:lineRule="exact"/>
                              <w:ind w:firstLine="627" w:firstLineChars="196"/>
                              <w:rPr>
                                <w:rFonts w:ascii="微软雅黑" w:hAnsi="微软雅黑" w:eastAsia="微软雅黑"/>
                                <w:sz w:val="32"/>
                                <w:szCs w:val="32"/>
                              </w:rPr>
                            </w:pPr>
                            <w:r>
                              <w:rPr>
                                <w:rFonts w:hint="eastAsia" w:ascii="微软雅黑" w:hAnsi="微软雅黑" w:eastAsia="微软雅黑"/>
                                <w:sz w:val="32"/>
                                <w:szCs w:val="32"/>
                              </w:rPr>
                              <w:t>编  制</w:t>
                            </w:r>
                          </w:p>
                          <w:p w14:paraId="1D7F9F8A">
                            <w:pPr>
                              <w:spacing w:line="380" w:lineRule="exact"/>
                              <w:ind w:firstLine="628" w:firstLineChars="196"/>
                              <w:rPr>
                                <w:rFonts w:ascii="微软雅黑" w:hAnsi="微软雅黑" w:eastAsia="微软雅黑"/>
                                <w:b/>
                                <w:sz w:val="32"/>
                                <w:szCs w:val="32"/>
                              </w:rPr>
                            </w:pPr>
                          </w:p>
                          <w:p w14:paraId="08B283EC">
                            <w:pPr>
                              <w:spacing w:line="380" w:lineRule="exact"/>
                              <w:ind w:firstLine="320" w:firstLineChars="100"/>
                              <w:rPr>
                                <w:rFonts w:ascii="微软雅黑" w:hAnsi="微软雅黑" w:eastAsia="微软雅黑"/>
                                <w:b/>
                                <w:sz w:val="32"/>
                                <w:szCs w:val="32"/>
                              </w:rPr>
                            </w:pPr>
                          </w:p>
                          <w:p w14:paraId="7F32D157">
                            <w:pPr>
                              <w:spacing w:line="380" w:lineRule="exact"/>
                              <w:ind w:firstLine="640" w:firstLineChars="200"/>
                              <w:rPr>
                                <w:rFonts w:ascii="微软雅黑" w:hAnsi="微软雅黑" w:eastAsia="微软雅黑"/>
                                <w:sz w:val="32"/>
                                <w:szCs w:val="32"/>
                              </w:rPr>
                            </w:pPr>
                            <w:r>
                              <w:rPr>
                                <w:rFonts w:hint="eastAsia" w:ascii="微软雅黑" w:hAnsi="微软雅黑" w:eastAsia="微软雅黑"/>
                                <w:sz w:val="32"/>
                                <w:szCs w:val="32"/>
                              </w:rPr>
                              <w:t>审  核</w:t>
                            </w:r>
                          </w:p>
                          <w:p w14:paraId="06A2BBE5">
                            <w:pPr>
                              <w:spacing w:line="380" w:lineRule="exact"/>
                              <w:ind w:firstLine="640" w:firstLineChars="200"/>
                              <w:rPr>
                                <w:rFonts w:ascii="微软雅黑" w:hAnsi="微软雅黑" w:eastAsia="微软雅黑"/>
                                <w:b/>
                                <w:sz w:val="32"/>
                                <w:szCs w:val="32"/>
                              </w:rPr>
                            </w:pPr>
                          </w:p>
                          <w:p w14:paraId="2DAC90D2">
                            <w:pPr>
                              <w:spacing w:line="420" w:lineRule="exact"/>
                              <w:rPr>
                                <w:rFonts w:ascii="微软雅黑" w:hAnsi="微软雅黑" w:eastAsia="微软雅黑"/>
                                <w:bCs/>
                                <w:sz w:val="32"/>
                              </w:rPr>
                            </w:pPr>
                          </w:p>
                          <w:p w14:paraId="1237C363">
                            <w:pPr>
                              <w:spacing w:line="380" w:lineRule="exact"/>
                              <w:ind w:firstLine="640" w:firstLineChars="200"/>
                              <w:rPr>
                                <w:rFonts w:ascii="微软雅黑" w:hAnsi="微软雅黑" w:eastAsia="微软雅黑"/>
                                <w:sz w:val="32"/>
                                <w:szCs w:val="32"/>
                              </w:rPr>
                            </w:pPr>
                            <w:r>
                              <w:rPr>
                                <w:rFonts w:hint="eastAsia" w:ascii="微软雅黑" w:hAnsi="微软雅黑" w:eastAsia="微软雅黑"/>
                                <w:sz w:val="32"/>
                                <w:szCs w:val="32"/>
                              </w:rPr>
                              <w:t>批  准</w:t>
                            </w:r>
                          </w:p>
                          <w:p w14:paraId="15F82926">
                            <w:pPr>
                              <w:spacing w:line="420" w:lineRule="exact"/>
                              <w:rPr>
                                <w:rFonts w:ascii="宋体" w:hAnsi="宋体"/>
                                <w:b/>
                                <w:sz w:val="32"/>
                                <w:szCs w:val="32"/>
                              </w:rPr>
                            </w:pPr>
                          </w:p>
                          <w:p w14:paraId="55A81EB7">
                            <w:pPr>
                              <w:spacing w:line="420" w:lineRule="exact"/>
                              <w:ind w:firstLine="803" w:firstLineChars="250"/>
                              <w:rPr>
                                <w:rFonts w:ascii="宋体" w:hAnsi="宋体"/>
                                <w:b/>
                                <w:sz w:val="32"/>
                                <w:szCs w:val="32"/>
                              </w:rPr>
                            </w:pPr>
                          </w:p>
                          <w:p w14:paraId="2231E879">
                            <w:pPr>
                              <w:spacing w:line="420" w:lineRule="exact"/>
                              <w:ind w:firstLine="643" w:firstLineChars="200"/>
                              <w:rPr>
                                <w:rFonts w:ascii="宋体" w:hAnsi="宋体"/>
                                <w:b/>
                                <w:sz w:val="32"/>
                                <w:szCs w:val="32"/>
                              </w:rPr>
                            </w:pPr>
                          </w:p>
                          <w:p w14:paraId="6521886A"/>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51.5pt;margin-top:2.6pt;height:242.9pt;width:331pt;mso-position-horizontal-relative:page;z-index:251664384;mso-width-relative:page;mso-height-relative:page;" fillcolor="#FFFFFF" filled="t" stroked="t" coordsize="21600,21600" o:gfxdata="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IOi9HzXAAAACQEAAA8AAAAAAAAAAQAgAAAAIgAAAGRycy9kb3ducmV2LnhtbFBLAQIUABQA&#10;AAAIAIdO4kAkFBxhYwIAAM4EAAAOAAAAAAAAAAEAIAAAACYBAABkcnMvZTJvRG9jLnhtbFBLBQYA&#10;AAAABgAGAFkBAAD7BQAAAAA=&#10;">
                <v:fill on="t" focussize="0,0"/>
                <v:stroke color="#FFFFFF" miterlimit="8" joinstyle="miter"/>
                <v:imagedata o:title=""/>
                <o:lock v:ext="edit" aspectratio="f"/>
                <v:textbox>
                  <w:txbxContent>
                    <w:p w14:paraId="7CF35783">
                      <w:pPr>
                        <w:spacing w:line="380" w:lineRule="exact"/>
                        <w:ind w:firstLine="643" w:firstLineChars="200"/>
                        <w:rPr>
                          <w:rFonts w:ascii="宋体" w:hAnsi="宋体"/>
                          <w:b/>
                          <w:sz w:val="32"/>
                          <w:szCs w:val="32"/>
                        </w:rPr>
                      </w:pPr>
                    </w:p>
                    <w:p w14:paraId="44FBAF01">
                      <w:pPr>
                        <w:spacing w:line="380" w:lineRule="exact"/>
                        <w:ind w:firstLine="640" w:firstLineChars="200"/>
                        <w:rPr>
                          <w:rFonts w:ascii="微软雅黑" w:hAnsi="微软雅黑" w:eastAsia="微软雅黑"/>
                          <w:b/>
                          <w:sz w:val="32"/>
                          <w:szCs w:val="32"/>
                        </w:rPr>
                      </w:pPr>
                    </w:p>
                    <w:p w14:paraId="2B440B8D">
                      <w:pPr>
                        <w:spacing w:line="380" w:lineRule="exact"/>
                        <w:ind w:firstLine="627" w:firstLineChars="196"/>
                        <w:rPr>
                          <w:rFonts w:ascii="微软雅黑" w:hAnsi="微软雅黑" w:eastAsia="微软雅黑"/>
                          <w:sz w:val="32"/>
                          <w:szCs w:val="32"/>
                        </w:rPr>
                      </w:pPr>
                      <w:r>
                        <w:rPr>
                          <w:rFonts w:hint="eastAsia" w:ascii="微软雅黑" w:hAnsi="微软雅黑" w:eastAsia="微软雅黑"/>
                          <w:sz w:val="32"/>
                          <w:szCs w:val="32"/>
                        </w:rPr>
                        <w:t>编  制</w:t>
                      </w:r>
                    </w:p>
                    <w:p w14:paraId="1D7F9F8A">
                      <w:pPr>
                        <w:spacing w:line="380" w:lineRule="exact"/>
                        <w:ind w:firstLine="628" w:firstLineChars="196"/>
                        <w:rPr>
                          <w:rFonts w:ascii="微软雅黑" w:hAnsi="微软雅黑" w:eastAsia="微软雅黑"/>
                          <w:b/>
                          <w:sz w:val="32"/>
                          <w:szCs w:val="32"/>
                        </w:rPr>
                      </w:pPr>
                    </w:p>
                    <w:p w14:paraId="08B283EC">
                      <w:pPr>
                        <w:spacing w:line="380" w:lineRule="exact"/>
                        <w:ind w:firstLine="320" w:firstLineChars="100"/>
                        <w:rPr>
                          <w:rFonts w:ascii="微软雅黑" w:hAnsi="微软雅黑" w:eastAsia="微软雅黑"/>
                          <w:b/>
                          <w:sz w:val="32"/>
                          <w:szCs w:val="32"/>
                        </w:rPr>
                      </w:pPr>
                    </w:p>
                    <w:p w14:paraId="7F32D157">
                      <w:pPr>
                        <w:spacing w:line="380" w:lineRule="exact"/>
                        <w:ind w:firstLine="640" w:firstLineChars="200"/>
                        <w:rPr>
                          <w:rFonts w:ascii="微软雅黑" w:hAnsi="微软雅黑" w:eastAsia="微软雅黑"/>
                          <w:sz w:val="32"/>
                          <w:szCs w:val="32"/>
                        </w:rPr>
                      </w:pPr>
                      <w:r>
                        <w:rPr>
                          <w:rFonts w:hint="eastAsia" w:ascii="微软雅黑" w:hAnsi="微软雅黑" w:eastAsia="微软雅黑"/>
                          <w:sz w:val="32"/>
                          <w:szCs w:val="32"/>
                        </w:rPr>
                        <w:t>审  核</w:t>
                      </w:r>
                    </w:p>
                    <w:p w14:paraId="06A2BBE5">
                      <w:pPr>
                        <w:spacing w:line="380" w:lineRule="exact"/>
                        <w:ind w:firstLine="640" w:firstLineChars="200"/>
                        <w:rPr>
                          <w:rFonts w:ascii="微软雅黑" w:hAnsi="微软雅黑" w:eastAsia="微软雅黑"/>
                          <w:b/>
                          <w:sz w:val="32"/>
                          <w:szCs w:val="32"/>
                        </w:rPr>
                      </w:pPr>
                    </w:p>
                    <w:p w14:paraId="2DAC90D2">
                      <w:pPr>
                        <w:spacing w:line="420" w:lineRule="exact"/>
                        <w:rPr>
                          <w:rFonts w:ascii="微软雅黑" w:hAnsi="微软雅黑" w:eastAsia="微软雅黑"/>
                          <w:bCs/>
                          <w:sz w:val="32"/>
                        </w:rPr>
                      </w:pPr>
                    </w:p>
                    <w:p w14:paraId="1237C363">
                      <w:pPr>
                        <w:spacing w:line="380" w:lineRule="exact"/>
                        <w:ind w:firstLine="640" w:firstLineChars="200"/>
                        <w:rPr>
                          <w:rFonts w:ascii="微软雅黑" w:hAnsi="微软雅黑" w:eastAsia="微软雅黑"/>
                          <w:sz w:val="32"/>
                          <w:szCs w:val="32"/>
                        </w:rPr>
                      </w:pPr>
                      <w:r>
                        <w:rPr>
                          <w:rFonts w:hint="eastAsia" w:ascii="微软雅黑" w:hAnsi="微软雅黑" w:eastAsia="微软雅黑"/>
                          <w:sz w:val="32"/>
                          <w:szCs w:val="32"/>
                        </w:rPr>
                        <w:t>批  准</w:t>
                      </w:r>
                    </w:p>
                    <w:p w14:paraId="15F82926">
                      <w:pPr>
                        <w:spacing w:line="420" w:lineRule="exact"/>
                        <w:rPr>
                          <w:rFonts w:ascii="宋体" w:hAnsi="宋体"/>
                          <w:b/>
                          <w:sz w:val="32"/>
                          <w:szCs w:val="32"/>
                        </w:rPr>
                      </w:pPr>
                    </w:p>
                    <w:p w14:paraId="55A81EB7">
                      <w:pPr>
                        <w:spacing w:line="420" w:lineRule="exact"/>
                        <w:ind w:firstLine="803" w:firstLineChars="250"/>
                        <w:rPr>
                          <w:rFonts w:ascii="宋体" w:hAnsi="宋体"/>
                          <w:b/>
                          <w:sz w:val="32"/>
                          <w:szCs w:val="32"/>
                        </w:rPr>
                      </w:pPr>
                    </w:p>
                    <w:p w14:paraId="2231E879">
                      <w:pPr>
                        <w:spacing w:line="420" w:lineRule="exact"/>
                        <w:ind w:firstLine="643" w:firstLineChars="200"/>
                        <w:rPr>
                          <w:rFonts w:ascii="宋体" w:hAnsi="宋体"/>
                          <w:b/>
                          <w:sz w:val="32"/>
                          <w:szCs w:val="32"/>
                        </w:rPr>
                      </w:pPr>
                    </w:p>
                    <w:p w14:paraId="6521886A"/>
                  </w:txbxContent>
                </v:textbox>
              </v:rect>
            </w:pict>
          </mc:Fallback>
        </mc:AlternateContent>
      </w:r>
      <w:r>
        <mc:AlternateContent>
          <mc:Choice Requires="wpg">
            <w:drawing>
              <wp:anchor distT="0" distB="0" distL="114300" distR="114300" simplePos="0" relativeHeight="251665408" behindDoc="0" locked="0" layoutInCell="1" allowOverlap="1">
                <wp:simplePos x="0" y="0"/>
                <wp:positionH relativeFrom="column">
                  <wp:posOffset>2395220</wp:posOffset>
                </wp:positionH>
                <wp:positionV relativeFrom="paragraph">
                  <wp:posOffset>404495</wp:posOffset>
                </wp:positionV>
                <wp:extent cx="2793365" cy="563245"/>
                <wp:effectExtent l="4445" t="4445" r="21590" b="22860"/>
                <wp:wrapNone/>
                <wp:docPr id="1405064901" name="组合 1405064901"/>
                <wp:cNvGraphicFramePr/>
                <a:graphic xmlns:a="http://schemas.openxmlformats.org/drawingml/2006/main">
                  <a:graphicData uri="http://schemas.microsoft.com/office/word/2010/wordprocessingGroup">
                    <wpg:wgp>
                      <wpg:cNvGrpSpPr/>
                      <wpg:grpSpPr>
                        <a:xfrm>
                          <a:off x="0" y="0"/>
                          <a:ext cx="2793365" cy="563245"/>
                          <a:chOff x="5012" y="7240"/>
                          <a:chExt cx="4399" cy="887"/>
                        </a:xfrm>
                        <a:effectLst/>
                      </wpg:grpSpPr>
                      <wps:wsp>
                        <wps:cNvPr id="1436765515" name="Rectangle 22"/>
                        <wps:cNvSpPr>
                          <a:spLocks noChangeArrowheads="1"/>
                        </wps:cNvSpPr>
                        <wps:spPr bwMode="auto">
                          <a:xfrm>
                            <a:off x="5012" y="7240"/>
                            <a:ext cx="4399" cy="887"/>
                          </a:xfrm>
                          <a:prstGeom prst="rect">
                            <a:avLst/>
                          </a:prstGeom>
                          <a:solidFill>
                            <a:srgbClr val="FFFFFF"/>
                          </a:solidFill>
                          <a:ln w="9525">
                            <a:solidFill>
                              <a:sysClr val="window" lastClr="FFFFFF">
                                <a:lumMod val="100000"/>
                                <a:lumOff val="0"/>
                              </a:sysClr>
                            </a:solidFill>
                            <a:miter lim="800000"/>
                          </a:ln>
                          <a:effectLst/>
                        </wps:spPr>
                        <wps:txbx>
                          <w:txbxContent>
                            <w:p w14:paraId="4D951224">
                              <w:pPr>
                                <w:rPr>
                                  <w:rFonts w:hint="default" w:eastAsia="宋体"/>
                                  <w:sz w:val="32"/>
                                  <w:szCs w:val="32"/>
                                  <w:lang w:val="en-US" w:eastAsia="zh-CN"/>
                                </w:rPr>
                              </w:pPr>
                              <w:r>
                                <w:rPr>
                                  <w:rFonts w:hint="eastAsia"/>
                                  <w:sz w:val="32"/>
                                  <w:szCs w:val="32"/>
                                </w:rPr>
                                <w:t xml:space="preserve">： </w:t>
                              </w:r>
                              <w:r>
                                <w:rPr>
                                  <w:sz w:val="32"/>
                                  <w:szCs w:val="32"/>
                                </w:rPr>
                                <w:t xml:space="preserve"> </w:t>
                              </w:r>
                              <w:r>
                                <w:rPr>
                                  <w:rFonts w:hint="eastAsia"/>
                                  <w:sz w:val="32"/>
                                  <w:szCs w:val="32"/>
                                  <w:lang w:val="en-US" w:eastAsia="zh-CN"/>
                                </w:rPr>
                                <w:t xml:space="preserve">   </w:t>
                              </w:r>
                              <w:r>
                                <w:rPr>
                                  <w:rFonts w:hint="eastAsia"/>
                                  <w:b/>
                                  <w:bCs/>
                                  <w:sz w:val="32"/>
                                  <w:szCs w:val="32"/>
                                  <w:lang w:val="en-US" w:eastAsia="zh-CN"/>
                                </w:rPr>
                                <w:t>黎雪芬</w:t>
                              </w:r>
                            </w:p>
                          </w:txbxContent>
                        </wps:txbx>
                        <wps:bodyPr rot="0" vert="horz" wrap="square" lIns="91440" tIns="45720" rIns="91440" bIns="45720" anchor="t" anchorCtr="0" upright="1">
                          <a:noAutofit/>
                        </wps:bodyPr>
                      </wps:wsp>
                      <wps:wsp>
                        <wps:cNvPr id="907901736" name="AutoShape 23"/>
                        <wps:cNvCnPr>
                          <a:cxnSpLocks noChangeShapeType="1"/>
                        </wps:cNvCnPr>
                        <wps:spPr bwMode="auto">
                          <a:xfrm flipH="1" flipV="1">
                            <a:off x="5644" y="7929"/>
                            <a:ext cx="2438" cy="0"/>
                          </a:xfrm>
                          <a:prstGeom prst="straightConnector1">
                            <a:avLst/>
                          </a:prstGeom>
                          <a:noFill/>
                          <a:ln w="15875">
                            <a:solidFill>
                              <a:srgbClr val="000000"/>
                            </a:solidFill>
                            <a:round/>
                          </a:ln>
                          <a:effectLst/>
                        </wps:spPr>
                        <wps:bodyPr/>
                      </wps:wsp>
                    </wpg:wgp>
                  </a:graphicData>
                </a:graphic>
              </wp:anchor>
            </w:drawing>
          </mc:Choice>
          <mc:Fallback>
            <w:pict>
              <v:group id="_x0000_s1026" o:spid="_x0000_s1026" o:spt="203" style="position:absolute;left:0pt;margin-left:188.6pt;margin-top:31.85pt;height:44.35pt;width:219.95pt;z-index:251665408;mso-width-relative:page;mso-height-relative:page;" coordorigin="5012,7240" coordsize="4399,887" o:gfxdata="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">
                <o:lock v:ext="edit" aspectratio="f"/>
                <v:rect id="Rectangle 22" o:spid="_x0000_s1026" o:spt="1" style="position:absolute;left:5012;top:7240;height:887;width:4399;" fillcolor="#FFFFFF" filled="t" stroked="t" coordsize="21600,21600" o:gfxdata="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hoO&#10;48EAAADjAAAADwAAAAAAAAABACAAAAAiAAAAZHJzL2Rvd25yZXYueG1sUEsBAhQAFAAAAAgAh07i&#10;QDMvBZ47AAAAOQAAABAAAAAAAAAAAQAgAAAAEAEAAGRycy9zaGFwZXhtbC54bWxQSwUGAAAAAAYA&#10;BgBbAQAAugMAAAAA&#10;">
                  <v:fill on="t" focussize="0,0"/>
                  <v:stroke color="#FFFFFF" miterlimit="8" joinstyle="miter"/>
                  <v:imagedata o:title=""/>
                  <o:lock v:ext="edit" aspectratio="f"/>
                  <v:textbox>
                    <w:txbxContent>
                      <w:p w14:paraId="4D951224">
                        <w:pPr>
                          <w:rPr>
                            <w:rFonts w:hint="default" w:eastAsia="宋体"/>
                            <w:sz w:val="32"/>
                            <w:szCs w:val="32"/>
                            <w:lang w:val="en-US" w:eastAsia="zh-CN"/>
                          </w:rPr>
                        </w:pPr>
                        <w:r>
                          <w:rPr>
                            <w:rFonts w:hint="eastAsia"/>
                            <w:sz w:val="32"/>
                            <w:szCs w:val="32"/>
                          </w:rPr>
                          <w:t xml:space="preserve">： </w:t>
                        </w:r>
                        <w:r>
                          <w:rPr>
                            <w:sz w:val="32"/>
                            <w:szCs w:val="32"/>
                          </w:rPr>
                          <w:t xml:space="preserve"> </w:t>
                        </w:r>
                        <w:r>
                          <w:rPr>
                            <w:rFonts w:hint="eastAsia"/>
                            <w:sz w:val="32"/>
                            <w:szCs w:val="32"/>
                            <w:lang w:val="en-US" w:eastAsia="zh-CN"/>
                          </w:rPr>
                          <w:t xml:space="preserve">   </w:t>
                        </w:r>
                        <w:r>
                          <w:rPr>
                            <w:rFonts w:hint="eastAsia"/>
                            <w:b/>
                            <w:bCs/>
                            <w:sz w:val="32"/>
                            <w:szCs w:val="32"/>
                            <w:lang w:val="en-US" w:eastAsia="zh-CN"/>
                          </w:rPr>
                          <w:t>黎雪芬</w:t>
                        </w:r>
                      </w:p>
                    </w:txbxContent>
                  </v:textbox>
                </v:rect>
                <v:shape id="AutoShape 23" o:spid="_x0000_s1026" o:spt="32" type="#_x0000_t32" style="position:absolute;left:5644;top:7929;flip:x y;height:0;width:2438;" filled="f" stroked="t" coordsize="21600,21600" o:gfxdata="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JBP&#10;EqzCAAAA4gAAAA8AAAAAAAAAAQAgAAAAIgAAAGRycy9kb3ducmV2LnhtbFBLAQIUABQAAAAIAIdO&#10;4kAzLwWeOwAAADkAAAAQAAAAAAAAAAEAIAAAABEBAABkcnMvc2hhcGV4bWwueG1sUEsFBgAAAAAG&#10;AAYAWwEAALsDAAAAAA==&#10;">
                  <v:fill on="f" focussize="0,0"/>
                  <v:stroke weight="1.25pt" color="#000000" joinstyle="round"/>
                  <v:imagedata o:title=""/>
                  <o:lock v:ext="edit" aspectratio="f"/>
                </v:shape>
              </v:group>
            </w:pict>
          </mc:Fallback>
        </mc:AlternateContent>
      </w:r>
    </w:p>
    <w:p w14:paraId="502F5EF5">
      <w:pPr>
        <w:adjustRightInd w:val="0"/>
        <w:snapToGrid w:val="0"/>
        <w:spacing w:line="480" w:lineRule="auto"/>
        <w:ind w:firstLine="2891" w:firstLineChars="900"/>
        <w:jc w:val="left"/>
        <w:rPr>
          <w:b/>
          <w:bCs/>
          <w:sz w:val="32"/>
        </w:rPr>
      </w:pPr>
    </w:p>
    <w:p w14:paraId="659FF53A">
      <w:pPr>
        <w:adjustRightInd w:val="0"/>
        <w:snapToGrid w:val="0"/>
        <w:spacing w:line="480" w:lineRule="auto"/>
        <w:ind w:firstLine="1890" w:firstLineChars="900"/>
        <w:jc w:val="left"/>
        <w:rPr>
          <w:b/>
          <w:bCs/>
          <w:sz w:val="32"/>
        </w:rPr>
      </w:pPr>
      <w:r>
        <w:rPr>
          <w:rFonts w:hint="default"/>
          <w:sz w:val="21"/>
          <w:szCs w:val="24"/>
        </w:rPr>
        <w:drawing>
          <wp:anchor distT="0" distB="0" distL="114300" distR="114300" simplePos="0" relativeHeight="251677696" behindDoc="0" locked="0" layoutInCell="1" allowOverlap="1">
            <wp:simplePos x="0" y="0"/>
            <wp:positionH relativeFrom="column">
              <wp:posOffset>3230880</wp:posOffset>
            </wp:positionH>
            <wp:positionV relativeFrom="paragraph">
              <wp:posOffset>76835</wp:posOffset>
            </wp:positionV>
            <wp:extent cx="561975" cy="448310"/>
            <wp:effectExtent l="0" t="0" r="1905" b="8890"/>
            <wp:wrapSquare wrapText="bothSides"/>
            <wp:docPr id="13" name="图片 4" descr="14bad82bf075fcba371010799dfce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14bad82bf075fcba371010799dfce42"/>
                    <pic:cNvPicPr>
                      <a:picLocks noChangeAspect="1"/>
                    </pic:cNvPicPr>
                  </pic:nvPicPr>
                  <pic:blipFill>
                    <a:blip r:embed="rId9">
                      <a:lum contrast="6000"/>
                    </a:blip>
                    <a:stretch>
                      <a:fillRect/>
                    </a:stretch>
                  </pic:blipFill>
                  <pic:spPr>
                    <a:xfrm>
                      <a:off x="0" y="0"/>
                      <a:ext cx="561975" cy="448310"/>
                    </a:xfrm>
                    <a:prstGeom prst="rect">
                      <a:avLst/>
                    </a:prstGeom>
                    <a:noFill/>
                    <a:ln>
                      <a:noFill/>
                    </a:ln>
                  </pic:spPr>
                </pic:pic>
              </a:graphicData>
            </a:graphic>
          </wp:anchor>
        </w:drawing>
      </w:r>
      <w:r>
        <mc:AlternateContent>
          <mc:Choice Requires="wpg">
            <w:drawing>
              <wp:anchor distT="0" distB="0" distL="114300" distR="114300" simplePos="0" relativeHeight="251668480" behindDoc="0" locked="0" layoutInCell="1" allowOverlap="1">
                <wp:simplePos x="0" y="0"/>
                <wp:positionH relativeFrom="column">
                  <wp:posOffset>2414270</wp:posOffset>
                </wp:positionH>
                <wp:positionV relativeFrom="paragraph">
                  <wp:posOffset>203200</wp:posOffset>
                </wp:positionV>
                <wp:extent cx="2793365" cy="563245"/>
                <wp:effectExtent l="4445" t="4445" r="21590" b="22860"/>
                <wp:wrapNone/>
                <wp:docPr id="24550761" name="组合 24550761"/>
                <wp:cNvGraphicFramePr/>
                <a:graphic xmlns:a="http://schemas.openxmlformats.org/drawingml/2006/main">
                  <a:graphicData uri="http://schemas.microsoft.com/office/word/2010/wordprocessingGroup">
                    <wpg:wgp>
                      <wpg:cNvGrpSpPr/>
                      <wpg:grpSpPr>
                        <a:xfrm>
                          <a:off x="0" y="0"/>
                          <a:ext cx="2793365" cy="563245"/>
                          <a:chOff x="5012" y="7240"/>
                          <a:chExt cx="4399" cy="887"/>
                        </a:xfrm>
                        <a:effectLst/>
                      </wpg:grpSpPr>
                      <wps:wsp>
                        <wps:cNvPr id="46277509" name="Rectangle 22"/>
                        <wps:cNvSpPr>
                          <a:spLocks noChangeArrowheads="1"/>
                        </wps:cNvSpPr>
                        <wps:spPr bwMode="auto">
                          <a:xfrm>
                            <a:off x="5012" y="7240"/>
                            <a:ext cx="4399" cy="887"/>
                          </a:xfrm>
                          <a:prstGeom prst="rect">
                            <a:avLst/>
                          </a:prstGeom>
                          <a:solidFill>
                            <a:srgbClr val="FFFFFF"/>
                          </a:solidFill>
                          <a:ln w="9525">
                            <a:solidFill>
                              <a:sysClr val="window" lastClr="FFFFFF">
                                <a:lumMod val="100000"/>
                                <a:lumOff val="0"/>
                              </a:sysClr>
                            </a:solidFill>
                            <a:miter lim="800000"/>
                          </a:ln>
                          <a:effectLst/>
                        </wps:spPr>
                        <wps:txbx>
                          <w:txbxContent>
                            <w:p w14:paraId="6FD5C8E7">
                              <w:pPr>
                                <w:rPr>
                                  <w:rFonts w:hint="eastAsia" w:eastAsia="宋体"/>
                                  <w:sz w:val="32"/>
                                  <w:szCs w:val="32"/>
                                  <w:lang w:eastAsia="zh-CN"/>
                                </w:rPr>
                              </w:pPr>
                              <w:r>
                                <w:rPr>
                                  <w:rFonts w:hint="eastAsia"/>
                                  <w:sz w:val="32"/>
                                  <w:szCs w:val="32"/>
                                </w:rPr>
                                <w:t>：</w:t>
                              </w:r>
                              <w:r>
                                <w:rPr>
                                  <w:rFonts w:hint="eastAsia" w:eastAsia="宋体"/>
                                  <w:sz w:val="32"/>
                                  <w:szCs w:val="32"/>
                                  <w:lang w:eastAsia="zh-CN"/>
                                </w:rPr>
                                <w:drawing>
                                  <wp:inline distT="0" distB="0" distL="114300" distR="114300">
                                    <wp:extent cx="2594610" cy="1760220"/>
                                    <wp:effectExtent l="0" t="0" r="0" b="0"/>
                                    <wp:docPr id="5" name="图片 1" descr="杨海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杨海军"/>
                                            <pic:cNvPicPr>
                                              <a:picLocks noChangeAspect="1"/>
                                            </pic:cNvPicPr>
                                          </pic:nvPicPr>
                                          <pic:blipFill>
                                            <a:blip r:embed="rId10"/>
                                            <a:stretch>
                                              <a:fillRect/>
                                            </a:stretch>
                                          </pic:blipFill>
                                          <pic:spPr>
                                            <a:xfrm>
                                              <a:off x="0" y="0"/>
                                              <a:ext cx="2594610" cy="176022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894401435" name="AutoShape 23"/>
                        <wps:cNvCnPr>
                          <a:cxnSpLocks noChangeShapeType="1"/>
                        </wps:cNvCnPr>
                        <wps:spPr bwMode="auto">
                          <a:xfrm flipH="1" flipV="1">
                            <a:off x="5644" y="7929"/>
                            <a:ext cx="2438" cy="0"/>
                          </a:xfrm>
                          <a:prstGeom prst="straightConnector1">
                            <a:avLst/>
                          </a:prstGeom>
                          <a:noFill/>
                          <a:ln w="15875">
                            <a:solidFill>
                              <a:srgbClr val="000000"/>
                            </a:solidFill>
                            <a:round/>
                          </a:ln>
                          <a:effectLst/>
                        </wps:spPr>
                        <wps:bodyPr/>
                      </wps:wsp>
                    </wpg:wgp>
                  </a:graphicData>
                </a:graphic>
              </wp:anchor>
            </w:drawing>
          </mc:Choice>
          <mc:Fallback>
            <w:pict>
              <v:group id="_x0000_s1026" o:spid="_x0000_s1026" o:spt="203" style="position:absolute;left:0pt;margin-left:190.1pt;margin-top:16pt;height:44.35pt;width:219.95pt;z-index:251668480;mso-width-relative:page;mso-height-relative:page;" coordorigin="5012,7240" coordsize="4399,887" o:gfxdata="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">
                <o:lock v:ext="edit" aspectratio="f"/>
                <v:rect id="Rectangle 22" o:spid="_x0000_s1026" o:spt="1" style="position:absolute;left:5012;top:7240;height:887;width:4399;" fillcolor="#FFFFFF" filled="t" stroked="t" coordsize="21600,21600" o:gfxdata="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jR&#10;mMHCAAAA4QAAAA8AAAAAAAAAAQAgAAAAIgAAAGRycy9kb3ducmV2LnhtbFBLAQIUABQAAAAIAIdO&#10;4kAzLwWeOwAAADkAAAAQAAAAAAAAAAEAIAAAABEBAABkcnMvc2hhcGV4bWwueG1sUEsFBgAAAAAG&#10;AAYAWwEAALsDAAAAAA==&#10;">
                  <v:fill on="t" focussize="0,0"/>
                  <v:stroke color="#FFFFFF" miterlimit="8" joinstyle="miter"/>
                  <v:imagedata o:title=""/>
                  <o:lock v:ext="edit" aspectratio="f"/>
                  <v:textbox>
                    <w:txbxContent>
                      <w:p w14:paraId="6FD5C8E7">
                        <w:pPr>
                          <w:rPr>
                            <w:rFonts w:hint="eastAsia" w:eastAsia="宋体"/>
                            <w:sz w:val="32"/>
                            <w:szCs w:val="32"/>
                            <w:lang w:eastAsia="zh-CN"/>
                          </w:rPr>
                        </w:pPr>
                        <w:r>
                          <w:rPr>
                            <w:rFonts w:hint="eastAsia"/>
                            <w:sz w:val="32"/>
                            <w:szCs w:val="32"/>
                          </w:rPr>
                          <w:t>：</w:t>
                        </w:r>
                        <w:r>
                          <w:rPr>
                            <w:rFonts w:hint="eastAsia" w:eastAsia="宋体"/>
                            <w:sz w:val="32"/>
                            <w:szCs w:val="32"/>
                            <w:lang w:eastAsia="zh-CN"/>
                          </w:rPr>
                          <w:drawing>
                            <wp:inline distT="0" distB="0" distL="114300" distR="114300">
                              <wp:extent cx="2594610" cy="1760220"/>
                              <wp:effectExtent l="0" t="0" r="0" b="0"/>
                              <wp:docPr id="5" name="图片 1" descr="杨海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杨海军"/>
                                      <pic:cNvPicPr>
                                        <a:picLocks noChangeAspect="1"/>
                                      </pic:cNvPicPr>
                                    </pic:nvPicPr>
                                    <pic:blipFill>
                                      <a:blip r:embed="rId10"/>
                                      <a:stretch>
                                        <a:fillRect/>
                                      </a:stretch>
                                    </pic:blipFill>
                                    <pic:spPr>
                                      <a:xfrm>
                                        <a:off x="0" y="0"/>
                                        <a:ext cx="2594610" cy="1760220"/>
                                      </a:xfrm>
                                      <a:prstGeom prst="rect">
                                        <a:avLst/>
                                      </a:prstGeom>
                                      <a:noFill/>
                                      <a:ln>
                                        <a:noFill/>
                                      </a:ln>
                                    </pic:spPr>
                                  </pic:pic>
                                </a:graphicData>
                              </a:graphic>
                            </wp:inline>
                          </w:drawing>
                        </w:r>
                      </w:p>
                    </w:txbxContent>
                  </v:textbox>
                </v:rect>
                <v:shape id="AutoShape 23" o:spid="_x0000_s1026" o:spt="32" type="#_x0000_t32" style="position:absolute;left:5644;top:7929;flip:x y;height:0;width:2438;" filled="f" stroked="t" coordsize="21600,21600" o:gfxdata="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FBg&#10;8eTCAAAA4gAAAA8AAAAAAAAAAQAgAAAAIgAAAGRycy9kb3ducmV2LnhtbFBLAQIUABQAAAAIAIdO&#10;4kAzLwWeOwAAADkAAAAQAAAAAAAAAAEAIAAAABEBAABkcnMvc2hhcGV4bWwueG1sUEsFBgAAAAAG&#10;AAYAWwEAALsDAAAAAA==&#10;">
                  <v:fill on="f" focussize="0,0"/>
                  <v:stroke weight="1.25pt" color="#000000" joinstyle="round"/>
                  <v:imagedata o:title=""/>
                  <o:lock v:ext="edit" aspectratio="f"/>
                </v:shape>
              </v:group>
            </w:pict>
          </mc:Fallback>
        </mc:AlternateContent>
      </w:r>
      <w:r>
        <mc:AlternateContent>
          <mc:Choice Requires="wpg">
            <w:drawing>
              <wp:anchor distT="0" distB="0" distL="114300" distR="114300" simplePos="0" relativeHeight="251661312" behindDoc="0" locked="0" layoutInCell="1" allowOverlap="1">
                <wp:simplePos x="0" y="0"/>
                <wp:positionH relativeFrom="column">
                  <wp:posOffset>2406015</wp:posOffset>
                </wp:positionH>
                <wp:positionV relativeFrom="paragraph">
                  <wp:posOffset>201295</wp:posOffset>
                </wp:positionV>
                <wp:extent cx="2793365" cy="563245"/>
                <wp:effectExtent l="4445" t="4445" r="21590" b="22860"/>
                <wp:wrapNone/>
                <wp:docPr id="1636789639" name="组合 1636789639"/>
                <wp:cNvGraphicFramePr/>
                <a:graphic xmlns:a="http://schemas.openxmlformats.org/drawingml/2006/main">
                  <a:graphicData uri="http://schemas.microsoft.com/office/word/2010/wordprocessingGroup">
                    <wpg:wgp>
                      <wpg:cNvGrpSpPr/>
                      <wpg:grpSpPr>
                        <a:xfrm>
                          <a:off x="0" y="0"/>
                          <a:ext cx="2793365" cy="563245"/>
                          <a:chOff x="5012" y="7325"/>
                          <a:chExt cx="4399" cy="887"/>
                        </a:xfrm>
                        <a:effectLst/>
                      </wpg:grpSpPr>
                      <wps:wsp>
                        <wps:cNvPr id="1680443289" name="Rectangle 25"/>
                        <wps:cNvSpPr>
                          <a:spLocks noChangeArrowheads="1"/>
                        </wps:cNvSpPr>
                        <wps:spPr bwMode="auto">
                          <a:xfrm>
                            <a:off x="5012" y="7325"/>
                            <a:ext cx="4399" cy="887"/>
                          </a:xfrm>
                          <a:prstGeom prst="rect">
                            <a:avLst/>
                          </a:prstGeom>
                          <a:solidFill>
                            <a:srgbClr val="FFFFFF"/>
                          </a:solidFill>
                          <a:ln w="9525">
                            <a:solidFill>
                              <a:sysClr val="window" lastClr="FFFFFF">
                                <a:lumMod val="100000"/>
                                <a:lumOff val="0"/>
                              </a:sysClr>
                            </a:solidFill>
                            <a:miter lim="800000"/>
                          </a:ln>
                          <a:effectLst/>
                        </wps:spPr>
                        <wps:txbx>
                          <w:txbxContent>
                            <w:p w14:paraId="08EC5115">
                              <w:pPr>
                                <w:rPr>
                                  <w:sz w:val="32"/>
                                  <w:szCs w:val="32"/>
                                </w:rPr>
                              </w:pPr>
                              <w:r>
                                <w:rPr>
                                  <w:rFonts w:hint="eastAsia"/>
                                  <w:sz w:val="32"/>
                                  <w:szCs w:val="32"/>
                                </w:rPr>
                                <w:t>：</w:t>
                              </w:r>
                            </w:p>
                          </w:txbxContent>
                        </wps:txbx>
                        <wps:bodyPr rot="0" vert="horz" wrap="square" lIns="91440" tIns="45720" rIns="91440" bIns="45720" anchor="t" anchorCtr="0" upright="1">
                          <a:noAutofit/>
                        </wps:bodyPr>
                      </wps:wsp>
                      <wps:wsp>
                        <wps:cNvPr id="761290362" name="AutoShape 26"/>
                        <wps:cNvCnPr>
                          <a:cxnSpLocks noChangeShapeType="1"/>
                        </wps:cNvCnPr>
                        <wps:spPr bwMode="auto">
                          <a:xfrm flipH="1" flipV="1">
                            <a:off x="5644" y="7929"/>
                            <a:ext cx="2438" cy="0"/>
                          </a:xfrm>
                          <a:prstGeom prst="straightConnector1">
                            <a:avLst/>
                          </a:prstGeom>
                          <a:noFill/>
                          <a:ln w="15875">
                            <a:solidFill>
                              <a:srgbClr val="000000"/>
                            </a:solidFill>
                            <a:round/>
                          </a:ln>
                          <a:effectLst/>
                        </wps:spPr>
                        <wps:bodyPr/>
                      </wps:wsp>
                    </wpg:wgp>
                  </a:graphicData>
                </a:graphic>
              </wp:anchor>
            </w:drawing>
          </mc:Choice>
          <mc:Fallback>
            <w:pict>
              <v:group id="_x0000_s1026" o:spid="_x0000_s1026" o:spt="203" style="position:absolute;left:0pt;margin-left:189.45pt;margin-top:15.85pt;height:44.35pt;width:219.95pt;z-index:251661312;mso-width-relative:page;mso-height-relative:page;" coordorigin="5012,7325" coordsize="4399,887" o:gfxdata="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">
                <o:lock v:ext="edit" aspectratio="f"/>
                <v:rect id="Rectangle 25" o:spid="_x0000_s1026" o:spt="1" style="position:absolute;left:5012;top:7325;height:887;width:4399;" fillcolor="#FFFFFF" filled="t" stroked="t" coordsize="21600,21600" o:gfxdata="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wzZ&#10;nMEAAADjAAAADwAAAAAAAAABACAAAAAiAAAAZHJzL2Rvd25yZXYueG1sUEsBAhQAFAAAAAgAh07i&#10;QDMvBZ47AAAAOQAAABAAAAAAAAAAAQAgAAAAEAEAAGRycy9zaGFwZXhtbC54bWxQSwUGAAAAAAYA&#10;BgBbAQAAugMAAAAA&#10;">
                  <v:fill on="t" focussize="0,0"/>
                  <v:stroke color="#FFFFFF" miterlimit="8" joinstyle="miter"/>
                  <v:imagedata o:title=""/>
                  <o:lock v:ext="edit" aspectratio="f"/>
                  <v:textbox>
                    <w:txbxContent>
                      <w:p w14:paraId="08EC5115">
                        <w:pPr>
                          <w:rPr>
                            <w:sz w:val="32"/>
                            <w:szCs w:val="32"/>
                          </w:rPr>
                        </w:pPr>
                        <w:r>
                          <w:rPr>
                            <w:rFonts w:hint="eastAsia"/>
                            <w:sz w:val="32"/>
                            <w:szCs w:val="32"/>
                          </w:rPr>
                          <w:t>：</w:t>
                        </w:r>
                      </w:p>
                    </w:txbxContent>
                  </v:textbox>
                </v:rect>
                <v:shape id="AutoShape 26" o:spid="_x0000_s1026" o:spt="32" type="#_x0000_t32" style="position:absolute;left:5644;top:7929;flip:x y;height:0;width:2438;" filled="f" stroked="t" coordsize="21600,21600" o:gfxdata="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p1&#10;xfDCAAAA4gAAAA8AAAAAAAAAAQAgAAAAIgAAAGRycy9kb3ducmV2LnhtbFBLAQIUABQAAAAIAIdO&#10;4kAzLwWeOwAAADkAAAAQAAAAAAAAAAEAIAAAABEBAABkcnMvc2hhcGV4bWwueG1sUEsFBgAAAAAG&#10;AAYAWwEAALsDAAAAAA==&#10;">
                  <v:fill on="f" focussize="0,0"/>
                  <v:stroke weight="1.25pt" color="#000000" joinstyle="round"/>
                  <v:imagedata o:title=""/>
                  <o:lock v:ext="edit" aspectratio="f"/>
                </v:shape>
              </v:group>
            </w:pict>
          </mc:Fallback>
        </mc:AlternateContent>
      </w:r>
    </w:p>
    <w:p w14:paraId="05F66E20">
      <w:pPr>
        <w:adjustRightInd w:val="0"/>
        <w:snapToGrid w:val="0"/>
        <w:spacing w:line="480" w:lineRule="auto"/>
        <w:ind w:firstLine="1890" w:firstLineChars="900"/>
        <w:jc w:val="left"/>
        <w:rPr>
          <w:b/>
          <w:bCs/>
          <w:sz w:val="32"/>
        </w:rPr>
      </w:pPr>
      <w:r>
        <w:rPr>
          <w:rFonts w:hint="default"/>
          <w:sz w:val="21"/>
          <w:szCs w:val="24"/>
        </w:rPr>
        <w:drawing>
          <wp:anchor distT="0" distB="0" distL="114300" distR="114300" simplePos="0" relativeHeight="251676672" behindDoc="0" locked="0" layoutInCell="1" allowOverlap="1">
            <wp:simplePos x="0" y="0"/>
            <wp:positionH relativeFrom="column">
              <wp:posOffset>3122930</wp:posOffset>
            </wp:positionH>
            <wp:positionV relativeFrom="paragraph">
              <wp:posOffset>235585</wp:posOffset>
            </wp:positionV>
            <wp:extent cx="876935" cy="607060"/>
            <wp:effectExtent l="0" t="0" r="6985" b="2540"/>
            <wp:wrapSquare wrapText="bothSides"/>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1">
                      <a:lum contrast="11999"/>
                    </a:blip>
                    <a:stretch>
                      <a:fillRect/>
                    </a:stretch>
                  </pic:blipFill>
                  <pic:spPr>
                    <a:xfrm>
                      <a:off x="0" y="0"/>
                      <a:ext cx="876935" cy="607060"/>
                    </a:xfrm>
                    <a:prstGeom prst="rect">
                      <a:avLst/>
                    </a:prstGeom>
                    <a:noFill/>
                    <a:ln>
                      <a:noFill/>
                    </a:ln>
                  </pic:spPr>
                </pic:pic>
              </a:graphicData>
            </a:graphic>
          </wp:anchor>
        </w:drawing>
      </w:r>
      <w:r>
        <mc:AlternateContent>
          <mc:Choice Requires="wpg">
            <w:drawing>
              <wp:anchor distT="0" distB="0" distL="114300" distR="114300" simplePos="0" relativeHeight="251666432" behindDoc="0" locked="0" layoutInCell="1" allowOverlap="1">
                <wp:simplePos x="0" y="0"/>
                <wp:positionH relativeFrom="column">
                  <wp:posOffset>2404745</wp:posOffset>
                </wp:positionH>
                <wp:positionV relativeFrom="paragraph">
                  <wp:posOffset>459740</wp:posOffset>
                </wp:positionV>
                <wp:extent cx="2793365" cy="563245"/>
                <wp:effectExtent l="4445" t="4445" r="21590" b="22860"/>
                <wp:wrapNone/>
                <wp:docPr id="1706634668" name="组合 1706634668"/>
                <wp:cNvGraphicFramePr/>
                <a:graphic xmlns:a="http://schemas.openxmlformats.org/drawingml/2006/main">
                  <a:graphicData uri="http://schemas.microsoft.com/office/word/2010/wordprocessingGroup">
                    <wpg:wgp>
                      <wpg:cNvGrpSpPr/>
                      <wpg:grpSpPr>
                        <a:xfrm>
                          <a:off x="0" y="0"/>
                          <a:ext cx="2793365" cy="563245"/>
                          <a:chOff x="5012" y="7308"/>
                          <a:chExt cx="4399" cy="887"/>
                        </a:xfrm>
                        <a:effectLst/>
                      </wpg:grpSpPr>
                      <wps:wsp>
                        <wps:cNvPr id="1945903458" name="Rectangle 25"/>
                        <wps:cNvSpPr>
                          <a:spLocks noChangeArrowheads="1"/>
                        </wps:cNvSpPr>
                        <wps:spPr bwMode="auto">
                          <a:xfrm>
                            <a:off x="5012" y="7308"/>
                            <a:ext cx="4399" cy="887"/>
                          </a:xfrm>
                          <a:prstGeom prst="rect">
                            <a:avLst/>
                          </a:prstGeom>
                          <a:solidFill>
                            <a:srgbClr val="FFFFFF"/>
                          </a:solidFill>
                          <a:ln w="9525">
                            <a:solidFill>
                              <a:sysClr val="window" lastClr="FFFFFF">
                                <a:lumMod val="100000"/>
                                <a:lumOff val="0"/>
                              </a:sysClr>
                            </a:solidFill>
                            <a:miter lim="800000"/>
                          </a:ln>
                          <a:effectLst/>
                        </wps:spPr>
                        <wps:txbx>
                          <w:txbxContent>
                            <w:p w14:paraId="6694A844">
                              <w:pPr>
                                <w:rPr>
                                  <w:rFonts w:hint="eastAsia" w:eastAsia="宋体"/>
                                  <w:sz w:val="32"/>
                                  <w:szCs w:val="32"/>
                                  <w:lang w:eastAsia="zh-CN"/>
                                </w:rPr>
                              </w:pPr>
                              <w:r>
                                <w:rPr>
                                  <w:rFonts w:hint="eastAsia"/>
                                  <w:sz w:val="32"/>
                                  <w:szCs w:val="32"/>
                                </w:rPr>
                                <w:t>：</w:t>
                              </w:r>
                              <w:r>
                                <w:rPr>
                                  <w:rFonts w:hint="eastAsia" w:eastAsia="宋体"/>
                                  <w:sz w:val="32"/>
                                  <w:szCs w:val="32"/>
                                  <w:lang w:eastAsia="zh-CN"/>
                                </w:rPr>
                                <w:drawing>
                                  <wp:inline distT="0" distB="0" distL="114300" distR="114300">
                                    <wp:extent cx="2593975" cy="1881505"/>
                                    <wp:effectExtent l="0" t="0" r="0" b="0"/>
                                    <wp:docPr id="4" name="图片 2" descr="蔡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蔡总"/>
                                            <pic:cNvPicPr>
                                              <a:picLocks noChangeAspect="1"/>
                                            </pic:cNvPicPr>
                                          </pic:nvPicPr>
                                          <pic:blipFill>
                                            <a:blip r:embed="rId12"/>
                                            <a:stretch>
                                              <a:fillRect/>
                                            </a:stretch>
                                          </pic:blipFill>
                                          <pic:spPr>
                                            <a:xfrm>
                                              <a:off x="0" y="0"/>
                                              <a:ext cx="2593975" cy="188150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121639135" name="AutoShape 26"/>
                        <wps:cNvCnPr>
                          <a:cxnSpLocks noChangeShapeType="1"/>
                        </wps:cNvCnPr>
                        <wps:spPr bwMode="auto">
                          <a:xfrm flipH="1" flipV="1">
                            <a:off x="5644" y="7929"/>
                            <a:ext cx="2438" cy="0"/>
                          </a:xfrm>
                          <a:prstGeom prst="straightConnector1">
                            <a:avLst/>
                          </a:prstGeom>
                          <a:noFill/>
                          <a:ln w="15875">
                            <a:solidFill>
                              <a:srgbClr val="000000"/>
                            </a:solidFill>
                            <a:round/>
                          </a:ln>
                          <a:effectLst/>
                        </wps:spPr>
                        <wps:bodyPr/>
                      </wps:wsp>
                    </wpg:wgp>
                  </a:graphicData>
                </a:graphic>
              </wp:anchor>
            </w:drawing>
          </mc:Choice>
          <mc:Fallback>
            <w:pict>
              <v:group id="_x0000_s1026" o:spid="_x0000_s1026" o:spt="203" style="position:absolute;left:0pt;margin-left:189.35pt;margin-top:36.2pt;height:44.35pt;width:219.95pt;z-index:251666432;mso-width-relative:page;mso-height-relative:page;" coordorigin="5012,7308" coordsize="4399,887" o:gfxdata="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">
                <o:lock v:ext="edit" aspectratio="f"/>
                <v:rect id="Rectangle 25" o:spid="_x0000_s1026" o:spt="1" style="position:absolute;left:5012;top:7308;height:887;width:4399;" fillcolor="#FFFFFF" filled="t" stroked="t" coordsize="21600,21600" o:gfxdata="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FIWxBsQAAADjAAAADwAAAAAAAAABACAAAAAiAAAAZHJzL2Rvd25yZXYueG1sUEsBAhQAFAAAAAgA&#10;h07iQDMvBZ47AAAAOQAAABAAAAAAAAAAAQAgAAAAEwEAAGRycy9zaGFwZXhtbC54bWxQSwUGAAAA&#10;AAYABgBbAQAAvQMAAAAA&#10;">
                  <v:fill on="t" focussize="0,0"/>
                  <v:stroke color="#FFFFFF" miterlimit="8" joinstyle="miter"/>
                  <v:imagedata o:title=""/>
                  <o:lock v:ext="edit" aspectratio="f"/>
                  <v:textbox>
                    <w:txbxContent>
                      <w:p w14:paraId="6694A844">
                        <w:pPr>
                          <w:rPr>
                            <w:rFonts w:hint="eastAsia" w:eastAsia="宋体"/>
                            <w:sz w:val="32"/>
                            <w:szCs w:val="32"/>
                            <w:lang w:eastAsia="zh-CN"/>
                          </w:rPr>
                        </w:pPr>
                        <w:r>
                          <w:rPr>
                            <w:rFonts w:hint="eastAsia"/>
                            <w:sz w:val="32"/>
                            <w:szCs w:val="32"/>
                          </w:rPr>
                          <w:t>：</w:t>
                        </w:r>
                        <w:r>
                          <w:rPr>
                            <w:rFonts w:hint="eastAsia" w:eastAsia="宋体"/>
                            <w:sz w:val="32"/>
                            <w:szCs w:val="32"/>
                            <w:lang w:eastAsia="zh-CN"/>
                          </w:rPr>
                          <w:drawing>
                            <wp:inline distT="0" distB="0" distL="114300" distR="114300">
                              <wp:extent cx="2593975" cy="1881505"/>
                              <wp:effectExtent l="0" t="0" r="0" b="0"/>
                              <wp:docPr id="4" name="图片 2" descr="蔡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蔡总"/>
                                      <pic:cNvPicPr>
                                        <a:picLocks noChangeAspect="1"/>
                                      </pic:cNvPicPr>
                                    </pic:nvPicPr>
                                    <pic:blipFill>
                                      <a:blip r:embed="rId12"/>
                                      <a:stretch>
                                        <a:fillRect/>
                                      </a:stretch>
                                    </pic:blipFill>
                                    <pic:spPr>
                                      <a:xfrm>
                                        <a:off x="0" y="0"/>
                                        <a:ext cx="2593975" cy="1881505"/>
                                      </a:xfrm>
                                      <a:prstGeom prst="rect">
                                        <a:avLst/>
                                      </a:prstGeom>
                                      <a:noFill/>
                                      <a:ln>
                                        <a:noFill/>
                                      </a:ln>
                                    </pic:spPr>
                                  </pic:pic>
                                </a:graphicData>
                              </a:graphic>
                            </wp:inline>
                          </w:drawing>
                        </w:r>
                      </w:p>
                    </w:txbxContent>
                  </v:textbox>
                </v:rect>
                <v:shape id="AutoShape 26" o:spid="_x0000_s1026" o:spt="32" type="#_x0000_t32" style="position:absolute;left:5644;top:7929;flip:x y;height:0;width:2438;" filled="f" stroked="t" coordsize="21600,21600" o:gfxdata="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DxnuS/&#10;AAAA4gAAAA8AAAAAAAAAAQAgAAAAIgAAAGRycy9kb3ducmV2LnhtbFBLAQIUABQAAAAIAIdO4kAz&#10;LwWeOwAAADkAAAAQAAAAAAAAAAEAIAAAAA4BAABkcnMvc2hhcGV4bWwueG1sUEsFBgAAAAAGAAYA&#10;WwEAALgDAAAAAA==&#10;">
                  <v:fill on="f" focussize="0,0"/>
                  <v:stroke weight="1.25pt" color="#000000" joinstyle="round"/>
                  <v:imagedata o:title=""/>
                  <o:lock v:ext="edit" aspectratio="f"/>
                </v:shape>
              </v:group>
            </w:pict>
          </mc:Fallback>
        </mc:AlternateContent>
      </w:r>
    </w:p>
    <w:p w14:paraId="0869D153">
      <w:pPr>
        <w:adjustRightInd w:val="0"/>
        <w:snapToGrid w:val="0"/>
        <w:spacing w:line="480" w:lineRule="auto"/>
        <w:ind w:firstLine="2891" w:firstLineChars="900"/>
        <w:jc w:val="left"/>
        <w:rPr>
          <w:rFonts w:hint="eastAsia" w:eastAsia="宋体"/>
          <w:b/>
          <w:bCs/>
          <w:sz w:val="32"/>
          <w:lang w:eastAsia="zh-CN"/>
        </w:rPr>
      </w:pPr>
    </w:p>
    <w:p w14:paraId="36D9F8EF">
      <w:pPr>
        <w:adjustRightInd w:val="0"/>
        <w:snapToGrid w:val="0"/>
        <w:spacing w:line="480" w:lineRule="auto"/>
        <w:ind w:firstLine="2891" w:firstLineChars="900"/>
        <w:jc w:val="left"/>
        <w:rPr>
          <w:rFonts w:hint="eastAsia" w:eastAsia="宋体"/>
          <w:b/>
          <w:bCs/>
          <w:sz w:val="32"/>
          <w:lang w:val="en-US" w:eastAsia="zh-CN"/>
        </w:rPr>
      </w:pPr>
      <w:r>
        <w:rPr>
          <w:rFonts w:hint="eastAsia"/>
          <w:b/>
          <w:bCs/>
          <w:sz w:val="32"/>
          <w:lang w:val="en-US" w:eastAsia="zh-CN"/>
        </w:rPr>
        <w:t xml:space="preserve"> </w:t>
      </w:r>
    </w:p>
    <w:p w14:paraId="043DE2DA">
      <w:pPr>
        <w:adjustRightInd w:val="0"/>
        <w:snapToGrid w:val="0"/>
        <w:spacing w:line="480" w:lineRule="auto"/>
        <w:ind w:firstLine="2891" w:firstLineChars="900"/>
        <w:jc w:val="left"/>
        <w:rPr>
          <w:b/>
          <w:bCs/>
          <w:sz w:val="32"/>
        </w:rPr>
      </w:pPr>
    </w:p>
    <w:p w14:paraId="6122D630">
      <w:pPr>
        <w:rPr>
          <w:rFonts w:hint="eastAsia" w:ascii="微软雅黑" w:hAnsi="微软雅黑" w:eastAsia="微软雅黑"/>
          <w:sz w:val="32"/>
          <w:szCs w:val="32"/>
        </w:rPr>
      </w:pPr>
    </w:p>
    <w:p w14:paraId="0532D884">
      <w:pPr>
        <w:rPr>
          <w:rFonts w:ascii="微软雅黑" w:hAnsi="微软雅黑" w:eastAsia="微软雅黑"/>
          <w:color w:val="auto"/>
          <w:sz w:val="28"/>
        </w:rPr>
      </w:pPr>
      <w:r>
        <w:rPr>
          <w:rFonts w:hint="eastAsia" w:ascii="微软雅黑" w:hAnsi="微软雅黑" w:eastAsia="微软雅黑"/>
          <w:color w:val="auto"/>
          <w:sz w:val="32"/>
          <w:szCs w:val="32"/>
        </w:rPr>
        <w:t>20</w:t>
      </w:r>
      <w:r>
        <w:rPr>
          <w:rFonts w:ascii="微软雅黑" w:hAnsi="微软雅黑" w:eastAsia="微软雅黑"/>
          <w:color w:val="auto"/>
          <w:sz w:val="32"/>
          <w:szCs w:val="32"/>
        </w:rPr>
        <w:t>2</w:t>
      </w:r>
      <w:r>
        <w:rPr>
          <w:rFonts w:hint="eastAsia" w:ascii="微软雅黑" w:hAnsi="微软雅黑" w:eastAsia="微软雅黑"/>
          <w:color w:val="auto"/>
          <w:sz w:val="32"/>
          <w:szCs w:val="32"/>
          <w:lang w:val="en-US" w:eastAsia="zh-CN"/>
        </w:rPr>
        <w:t>4</w:t>
      </w:r>
      <w:r>
        <w:rPr>
          <w:rFonts w:hint="eastAsia" w:ascii="微软雅黑" w:hAnsi="微软雅黑" w:eastAsia="微软雅黑"/>
          <w:color w:val="auto"/>
          <w:sz w:val="32"/>
          <w:szCs w:val="32"/>
        </w:rPr>
        <w:t>年</w:t>
      </w:r>
      <w:r>
        <w:rPr>
          <w:rFonts w:hint="eastAsia" w:ascii="微软雅黑" w:hAnsi="微软雅黑" w:eastAsia="微软雅黑"/>
          <w:color w:val="auto"/>
          <w:sz w:val="32"/>
          <w:szCs w:val="32"/>
          <w:lang w:val="en-US" w:eastAsia="zh-CN"/>
        </w:rPr>
        <w:t>01</w:t>
      </w:r>
      <w:r>
        <w:rPr>
          <w:rFonts w:hint="eastAsia" w:ascii="微软雅黑" w:hAnsi="微软雅黑" w:eastAsia="微软雅黑"/>
          <w:color w:val="auto"/>
          <w:sz w:val="32"/>
          <w:szCs w:val="32"/>
        </w:rPr>
        <w:t xml:space="preserve">月 </w:t>
      </w:r>
      <w:r>
        <w:rPr>
          <w:rFonts w:hint="eastAsia" w:ascii="微软雅黑" w:hAnsi="微软雅黑" w:eastAsia="微软雅黑"/>
          <w:color w:val="auto"/>
          <w:sz w:val="32"/>
          <w:szCs w:val="32"/>
          <w:lang w:val="en-US" w:eastAsia="zh-CN"/>
        </w:rPr>
        <w:t>01</w:t>
      </w:r>
      <w:r>
        <w:rPr>
          <w:rFonts w:hint="eastAsia" w:ascii="微软雅黑" w:hAnsi="微软雅黑" w:eastAsia="微软雅黑"/>
          <w:color w:val="auto"/>
          <w:sz w:val="32"/>
          <w:szCs w:val="32"/>
        </w:rPr>
        <w:t>日发布            20</w:t>
      </w:r>
      <w:r>
        <w:rPr>
          <w:rFonts w:ascii="微软雅黑" w:hAnsi="微软雅黑" w:eastAsia="微软雅黑"/>
          <w:color w:val="auto"/>
          <w:sz w:val="32"/>
          <w:szCs w:val="32"/>
        </w:rPr>
        <w:t>24</w:t>
      </w:r>
      <w:r>
        <w:rPr>
          <w:rFonts w:hint="eastAsia" w:ascii="微软雅黑" w:hAnsi="微软雅黑" w:eastAsia="微软雅黑"/>
          <w:color w:val="auto"/>
          <w:sz w:val="32"/>
          <w:szCs w:val="32"/>
        </w:rPr>
        <w:t>年</w:t>
      </w:r>
      <w:r>
        <w:rPr>
          <w:rFonts w:hint="eastAsia" w:ascii="微软雅黑" w:hAnsi="微软雅黑" w:eastAsia="微软雅黑"/>
          <w:color w:val="auto"/>
          <w:sz w:val="32"/>
          <w:szCs w:val="32"/>
          <w:lang w:val="en-US" w:eastAsia="zh-CN"/>
        </w:rPr>
        <w:t>01</w:t>
      </w:r>
      <w:r>
        <w:rPr>
          <w:rFonts w:hint="eastAsia" w:ascii="微软雅黑" w:hAnsi="微软雅黑" w:eastAsia="微软雅黑"/>
          <w:color w:val="auto"/>
          <w:sz w:val="32"/>
          <w:szCs w:val="32"/>
        </w:rPr>
        <w:t>月</w:t>
      </w:r>
      <w:r>
        <w:rPr>
          <w:rFonts w:hint="eastAsia" w:ascii="微软雅黑" w:hAnsi="微软雅黑" w:eastAsia="微软雅黑"/>
          <w:color w:val="auto"/>
          <w:sz w:val="32"/>
          <w:szCs w:val="32"/>
          <w:lang w:val="en-US" w:eastAsia="zh-CN"/>
        </w:rPr>
        <w:t>01</w:t>
      </w:r>
      <w:r>
        <w:rPr>
          <w:rFonts w:hint="eastAsia" w:ascii="微软雅黑" w:hAnsi="微软雅黑" w:eastAsia="微软雅黑"/>
          <w:color w:val="auto"/>
          <w:sz w:val="32"/>
          <w:szCs w:val="32"/>
        </w:rPr>
        <w:t>日实施</w:t>
      </w:r>
      <w:r>
        <w:rPr>
          <w:color w:val="auto"/>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370205</wp:posOffset>
                </wp:positionV>
                <wp:extent cx="5943600" cy="0"/>
                <wp:effectExtent l="0" t="4445" r="0" b="5080"/>
                <wp:wrapNone/>
                <wp:docPr id="85656103" name="直接连接符 85656103"/>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29.15pt;height:0pt;width:468pt;z-index:251663360;mso-width-relative:page;mso-height-relative:page;" filled="f" stroked="t" coordsize="21600,21600" o:gfxdata="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2/UVfUAAAABgEAAA8AAAAAAAAAAQAgAAAAIgAAAGRycy9kb3ducmV2LnhtbFBLAQIUABQAAAAI&#10;AIdO4kBcdfUo8QEAAMYDAAAOAAAAAAAAAAEAIAAAACMBAABkcnMvZTJvRG9jLnhtbFBLBQYAAAAA&#10;BgAGAFkBAACGBQAAAAA=&#10;">
                <v:fill on="f" focussize="0,0"/>
                <v:stroke color="#000000" joinstyle="round"/>
                <v:imagedata o:title=""/>
                <o:lock v:ext="edit" aspectratio="f"/>
              </v:line>
            </w:pict>
          </mc:Fallback>
        </mc:AlternateContent>
      </w:r>
    </w:p>
    <w:p w14:paraId="4B57C3D1">
      <w:pPr>
        <w:spacing w:line="320" w:lineRule="exact"/>
        <w:jc w:val="center"/>
        <w:rPr>
          <w:rFonts w:ascii="微软雅黑" w:hAnsi="微软雅黑" w:eastAsia="微软雅黑"/>
          <w:sz w:val="30"/>
          <w:szCs w:val="30"/>
        </w:rPr>
      </w:pPr>
    </w:p>
    <w:p w14:paraId="24D39065">
      <w:pPr>
        <w:jc w:val="center"/>
        <w:outlineLvl w:val="0"/>
        <w:rPr>
          <w:rFonts w:ascii="宋体" w:hAnsi="宋体"/>
          <w:sz w:val="24"/>
        </w:rPr>
      </w:pPr>
      <w:bookmarkStart w:id="0" w:name="_Toc16328"/>
      <w:r>
        <w:rPr>
          <w:rFonts w:hint="eastAsia" w:ascii="微软雅黑" w:eastAsia="微软雅黑" w:cs="微软雅黑"/>
          <w:b/>
          <w:bCs/>
          <w:color w:val="000000"/>
          <w:kern w:val="0"/>
          <w:sz w:val="36"/>
          <w:szCs w:val="36"/>
          <w:lang w:val="zh-CN"/>
        </w:rPr>
        <w:t>广东隆达铝业有限公司   发布</w:t>
      </w:r>
      <w:bookmarkEnd w:id="0"/>
    </w:p>
    <w:p w14:paraId="738980BD">
      <w:pPr>
        <w:spacing w:line="360" w:lineRule="auto"/>
        <w:jc w:val="center"/>
        <w:rPr>
          <w:rFonts w:eastAsiaTheme="minorEastAsia"/>
          <w:sz w:val="24"/>
        </w:rPr>
        <w:sectPr>
          <w:headerReference r:id="rId5" w:type="default"/>
          <w:footerReference r:id="rId6" w:type="default"/>
          <w:pgSz w:w="11907" w:h="16840"/>
          <w:pgMar w:top="1377" w:right="1418" w:bottom="963" w:left="1418" w:header="737" w:footer="737" w:gutter="0"/>
          <w:cols w:space="425" w:num="1"/>
          <w:docGrid w:linePitch="312" w:charSpace="0"/>
        </w:sectPr>
      </w:pPr>
    </w:p>
    <w:p w14:paraId="1B5763DD">
      <w:pPr>
        <w:spacing w:before="0" w:beforeLines="0" w:after="0" w:afterLines="0" w:line="240" w:lineRule="auto"/>
        <w:ind w:left="0" w:leftChars="0" w:right="0" w:rightChars="0" w:firstLine="0" w:firstLineChars="0"/>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目</w:t>
      </w:r>
      <w:r>
        <w:rPr>
          <w:rFonts w:hint="eastAsia" w:ascii="微软雅黑" w:hAnsi="微软雅黑" w:eastAsia="微软雅黑" w:cs="微软雅黑"/>
          <w:b/>
          <w:bCs/>
          <w:sz w:val="30"/>
          <w:szCs w:val="30"/>
          <w:lang w:val="en-US" w:eastAsia="zh-CN"/>
        </w:rPr>
        <w:t xml:space="preserve">    </w:t>
      </w:r>
      <w:r>
        <w:rPr>
          <w:rFonts w:hint="eastAsia" w:ascii="微软雅黑" w:hAnsi="微软雅黑" w:eastAsia="微软雅黑" w:cs="微软雅黑"/>
          <w:b/>
          <w:bCs/>
          <w:sz w:val="30"/>
          <w:szCs w:val="30"/>
        </w:rPr>
        <w:t>录</w:t>
      </w:r>
    </w:p>
    <w:p w14:paraId="466D0F4B">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TOC \o "1-1" \h \u </w:instrText>
      </w:r>
      <w:r>
        <w:fldChar w:fldCharType="separate"/>
      </w:r>
      <w:r>
        <w:fldChar w:fldCharType="begin"/>
      </w:r>
      <w:r>
        <w:instrText xml:space="preserve"> HYPERLINK \l _Toc24136 </w:instrText>
      </w:r>
      <w:r>
        <w:fldChar w:fldCharType="separate"/>
      </w:r>
      <w:r>
        <w:rPr>
          <w:rFonts w:hint="eastAsia" w:ascii="微软雅黑" w:hAnsi="微软雅黑" w:eastAsia="微软雅黑" w:cs="微软雅黑"/>
          <w:szCs w:val="30"/>
        </w:rPr>
        <w:t>0.1 ASI手册颁布令</w:t>
      </w:r>
      <w:r>
        <w:tab/>
      </w:r>
      <w:r>
        <w:fldChar w:fldCharType="begin"/>
      </w:r>
      <w:r>
        <w:instrText xml:space="preserve"> PAGEREF _Toc24136 \h </w:instrText>
      </w:r>
      <w:r>
        <w:fldChar w:fldCharType="separate"/>
      </w:r>
      <w:r>
        <w:t>5</w:t>
      </w:r>
      <w:r>
        <w:fldChar w:fldCharType="end"/>
      </w:r>
      <w:r>
        <w:fldChar w:fldCharType="end"/>
      </w:r>
    </w:p>
    <w:p w14:paraId="6B3BDF61">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_Toc6974 </w:instrText>
      </w:r>
      <w:r>
        <w:fldChar w:fldCharType="separate"/>
      </w:r>
      <w:r>
        <w:rPr>
          <w:rFonts w:hint="eastAsia" w:ascii="微软雅黑" w:hAnsi="微软雅黑" w:eastAsia="微软雅黑" w:cs="微软雅黑"/>
          <w:bCs/>
          <w:szCs w:val="30"/>
        </w:rPr>
        <w:t>0.2企业简介</w:t>
      </w:r>
      <w:r>
        <w:tab/>
      </w:r>
      <w:r>
        <w:fldChar w:fldCharType="begin"/>
      </w:r>
      <w:r>
        <w:instrText xml:space="preserve"> PAGEREF _Toc6974 \h </w:instrText>
      </w:r>
      <w:r>
        <w:fldChar w:fldCharType="separate"/>
      </w:r>
      <w:r>
        <w:t>6</w:t>
      </w:r>
      <w:r>
        <w:fldChar w:fldCharType="end"/>
      </w:r>
      <w:r>
        <w:fldChar w:fldCharType="end"/>
      </w:r>
    </w:p>
    <w:p w14:paraId="486A6075">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_Toc1381 </w:instrText>
      </w:r>
      <w:r>
        <w:fldChar w:fldCharType="separate"/>
      </w:r>
      <w:r>
        <w:rPr>
          <w:rFonts w:hint="eastAsia" w:ascii="微软雅黑" w:hAnsi="微软雅黑" w:eastAsia="微软雅黑" w:cs="微软雅黑"/>
          <w:szCs w:val="30"/>
        </w:rPr>
        <w:t>0.3 ASI体系承诺书</w:t>
      </w:r>
      <w:r>
        <w:tab/>
      </w:r>
      <w:r>
        <w:fldChar w:fldCharType="begin"/>
      </w:r>
      <w:r>
        <w:instrText xml:space="preserve"> PAGEREF _Toc1381 \h </w:instrText>
      </w:r>
      <w:r>
        <w:fldChar w:fldCharType="separate"/>
      </w:r>
      <w:r>
        <w:t>7</w:t>
      </w:r>
      <w:r>
        <w:fldChar w:fldCharType="end"/>
      </w:r>
      <w:r>
        <w:fldChar w:fldCharType="end"/>
      </w:r>
    </w:p>
    <w:p w14:paraId="057E8493">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_Toc25736 </w:instrText>
      </w:r>
      <w:r>
        <w:fldChar w:fldCharType="separate"/>
      </w:r>
      <w:r>
        <w:rPr>
          <w:rFonts w:hint="eastAsia" w:ascii="微软雅黑" w:hAnsi="微软雅黑" w:eastAsia="微软雅黑" w:cs="微软雅黑"/>
          <w:szCs w:val="30"/>
        </w:rPr>
        <w:t>0.4管理者代表任命书</w:t>
      </w:r>
      <w:r>
        <w:tab/>
      </w:r>
      <w:r>
        <w:fldChar w:fldCharType="begin"/>
      </w:r>
      <w:r>
        <w:instrText xml:space="preserve"> PAGEREF _Toc25736 \h </w:instrText>
      </w:r>
      <w:r>
        <w:fldChar w:fldCharType="separate"/>
      </w:r>
      <w:r>
        <w:t>8</w:t>
      </w:r>
      <w:r>
        <w:fldChar w:fldCharType="end"/>
      </w:r>
      <w:r>
        <w:fldChar w:fldCharType="end"/>
      </w:r>
    </w:p>
    <w:p w14:paraId="1FF5BE19">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_Toc11339 </w:instrText>
      </w:r>
      <w:r>
        <w:fldChar w:fldCharType="separate"/>
      </w:r>
      <w:r>
        <w:rPr>
          <w:rFonts w:hint="eastAsia" w:ascii="微软雅黑" w:hAnsi="微软雅黑" w:eastAsia="微软雅黑" w:cs="微软雅黑"/>
          <w:szCs w:val="30"/>
        </w:rPr>
        <w:t>0.5ASI管理体系方针</w:t>
      </w:r>
      <w:r>
        <w:tab/>
      </w:r>
      <w:r>
        <w:fldChar w:fldCharType="begin"/>
      </w:r>
      <w:r>
        <w:instrText xml:space="preserve"> PAGEREF _Toc11339 \h </w:instrText>
      </w:r>
      <w:r>
        <w:fldChar w:fldCharType="separate"/>
      </w:r>
      <w:r>
        <w:t>9</w:t>
      </w:r>
      <w:r>
        <w:fldChar w:fldCharType="end"/>
      </w:r>
      <w:r>
        <w:fldChar w:fldCharType="end"/>
      </w:r>
    </w:p>
    <w:p w14:paraId="21A11375">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rPr>
      </w:pPr>
      <w:r>
        <w:fldChar w:fldCharType="begin"/>
      </w:r>
      <w:r>
        <w:instrText xml:space="preserve"> HYPERLINK \l _Toc11182 </w:instrText>
      </w:r>
      <w:r>
        <w:fldChar w:fldCharType="separate"/>
      </w:r>
      <w:r>
        <w:rPr>
          <w:rFonts w:hint="eastAsia" w:ascii="微软雅黑" w:hAnsi="微软雅黑" w:eastAsia="微软雅黑" w:cs="微软雅黑"/>
          <w:szCs w:val="30"/>
        </w:rPr>
        <w:t>0.6ASI管理</w:t>
      </w:r>
      <w:r>
        <w:rPr>
          <w:rFonts w:hint="eastAsia" w:ascii="微软雅黑" w:hAnsi="微软雅黑" w:eastAsia="微软雅黑" w:cs="微软雅黑"/>
          <w:szCs w:val="30"/>
          <w:lang w:val="en-US" w:eastAsia="zh-CN"/>
        </w:rPr>
        <w:t>体系</w:t>
      </w:r>
      <w:r>
        <w:rPr>
          <w:rFonts w:hint="eastAsia" w:ascii="微软雅黑" w:hAnsi="微软雅黑" w:eastAsia="微软雅黑" w:cs="微软雅黑"/>
          <w:szCs w:val="30"/>
        </w:rPr>
        <w:t>目标</w:t>
      </w:r>
      <w:r>
        <w:tab/>
      </w:r>
      <w:r>
        <w:fldChar w:fldCharType="begin"/>
      </w:r>
      <w:r>
        <w:instrText xml:space="preserve"> PAGEREF _Toc11182 \h </w:instrText>
      </w:r>
      <w:r>
        <w:fldChar w:fldCharType="separate"/>
      </w:r>
      <w:r>
        <w:t>10</w:t>
      </w:r>
      <w:r>
        <w:fldChar w:fldCharType="end"/>
      </w:r>
      <w:r>
        <w:fldChar w:fldCharType="end"/>
      </w:r>
    </w:p>
    <w:p w14:paraId="2FF5FD4C">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_Toc22255 </w:instrText>
      </w:r>
      <w:r>
        <w:fldChar w:fldCharType="separate"/>
      </w:r>
      <w:r>
        <w:rPr>
          <w:rFonts w:hint="eastAsia" w:ascii="微软雅黑" w:hAnsi="微软雅黑" w:eastAsia="微软雅黑" w:cs="微软雅黑"/>
          <w:szCs w:val="30"/>
        </w:rPr>
        <w:t>0.7组织结构及ASI管理体系职责分配</w:t>
      </w:r>
      <w:r>
        <w:tab/>
      </w:r>
      <w:r>
        <w:fldChar w:fldCharType="begin"/>
      </w:r>
      <w:r>
        <w:instrText xml:space="preserve"> PAGEREF _Toc22255 \h </w:instrText>
      </w:r>
      <w:r>
        <w:fldChar w:fldCharType="separate"/>
      </w:r>
      <w:r>
        <w:t>11</w:t>
      </w:r>
      <w:r>
        <w:fldChar w:fldCharType="end"/>
      </w:r>
      <w:r>
        <w:fldChar w:fldCharType="end"/>
      </w:r>
    </w:p>
    <w:p w14:paraId="3B5DA152">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_Toc4254 </w:instrText>
      </w:r>
      <w:r>
        <w:fldChar w:fldCharType="separate"/>
      </w:r>
      <w:r>
        <w:rPr>
          <w:rFonts w:hint="eastAsia" w:ascii="微软雅黑" w:hAnsi="微软雅黑" w:eastAsia="微软雅黑" w:cs="微软雅黑"/>
          <w:szCs w:val="30"/>
        </w:rPr>
        <w:t>1</w:t>
      </w:r>
      <w:r>
        <w:rPr>
          <w:rFonts w:hint="eastAsia" w:ascii="微软雅黑" w:hAnsi="微软雅黑" w:eastAsia="微软雅黑" w:cs="微软雅黑"/>
          <w:szCs w:val="30"/>
          <w:lang w:val="en-US" w:eastAsia="zh-CN"/>
        </w:rPr>
        <w:t xml:space="preserve"> </w:t>
      </w:r>
      <w:r>
        <w:rPr>
          <w:rFonts w:hint="eastAsia" w:ascii="微软雅黑" w:hAnsi="微软雅黑" w:eastAsia="微软雅黑" w:cs="微软雅黑"/>
          <w:szCs w:val="30"/>
        </w:rPr>
        <w:t>企业诚信</w:t>
      </w:r>
      <w:r>
        <w:tab/>
      </w:r>
      <w:r>
        <w:fldChar w:fldCharType="begin"/>
      </w:r>
      <w:r>
        <w:instrText xml:space="preserve"> PAGEREF _Toc4254 \h </w:instrText>
      </w:r>
      <w:r>
        <w:fldChar w:fldCharType="separate"/>
      </w:r>
      <w:r>
        <w:t>14</w:t>
      </w:r>
      <w:r>
        <w:fldChar w:fldCharType="end"/>
      </w:r>
      <w:r>
        <w:fldChar w:fldCharType="end"/>
      </w:r>
    </w:p>
    <w:p w14:paraId="0DD0C66E">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_Toc18989 </w:instrText>
      </w:r>
      <w:r>
        <w:fldChar w:fldCharType="separate"/>
      </w:r>
      <w:r>
        <w:rPr>
          <w:rFonts w:hint="eastAsia" w:ascii="宋体" w:hAnsi="宋体" w:eastAsia="宋体" w:cs="宋体"/>
          <w:szCs w:val="24"/>
        </w:rPr>
        <w:t>1.1</w:t>
      </w:r>
      <w:r>
        <w:rPr>
          <w:rFonts w:hint="eastAsia" w:ascii="宋体" w:hAnsi="宋体" w:eastAsia="宋体" w:cs="宋体"/>
          <w:szCs w:val="24"/>
          <w:lang w:val="en-US" w:eastAsia="zh-CN"/>
        </w:rPr>
        <w:t>法律的合规性</w:t>
      </w:r>
      <w:r>
        <w:tab/>
      </w:r>
      <w:r>
        <w:fldChar w:fldCharType="begin"/>
      </w:r>
      <w:r>
        <w:instrText xml:space="preserve"> PAGEREF _Toc18989 \h </w:instrText>
      </w:r>
      <w:r>
        <w:fldChar w:fldCharType="separate"/>
      </w:r>
      <w:r>
        <w:t>14</w:t>
      </w:r>
      <w:r>
        <w:fldChar w:fldCharType="end"/>
      </w:r>
      <w:r>
        <w:fldChar w:fldCharType="end"/>
      </w:r>
    </w:p>
    <w:p w14:paraId="1524F4D5">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_Toc24286 </w:instrText>
      </w:r>
      <w:r>
        <w:fldChar w:fldCharType="separate"/>
      </w:r>
      <w:r>
        <w:rPr>
          <w:rFonts w:hint="eastAsia" w:ascii="宋体" w:hAnsi="宋体" w:eastAsia="宋体" w:cs="宋体"/>
          <w:szCs w:val="24"/>
        </w:rPr>
        <w:t>1.2 反腐败</w:t>
      </w:r>
      <w:r>
        <w:tab/>
      </w:r>
      <w:r>
        <w:fldChar w:fldCharType="begin"/>
      </w:r>
      <w:r>
        <w:instrText xml:space="preserve"> PAGEREF _Toc24286 \h </w:instrText>
      </w:r>
      <w:r>
        <w:fldChar w:fldCharType="separate"/>
      </w:r>
      <w:r>
        <w:t>14</w:t>
      </w:r>
      <w:r>
        <w:fldChar w:fldCharType="end"/>
      </w:r>
      <w:r>
        <w:fldChar w:fldCharType="end"/>
      </w:r>
    </w:p>
    <w:p w14:paraId="2DA4D5AC">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_Toc15650 </w:instrText>
      </w:r>
      <w:r>
        <w:fldChar w:fldCharType="separate"/>
      </w:r>
      <w:r>
        <w:rPr>
          <w:rFonts w:hint="eastAsia" w:ascii="宋体" w:hAnsi="宋体" w:eastAsia="宋体" w:cs="宋体"/>
          <w:szCs w:val="24"/>
        </w:rPr>
        <w:t>1.3行为准则</w:t>
      </w:r>
      <w:r>
        <w:tab/>
      </w:r>
      <w:r>
        <w:fldChar w:fldCharType="begin"/>
      </w:r>
      <w:r>
        <w:instrText xml:space="preserve"> PAGEREF _Toc15650 \h </w:instrText>
      </w:r>
      <w:r>
        <w:fldChar w:fldCharType="separate"/>
      </w:r>
      <w:r>
        <w:t>15</w:t>
      </w:r>
      <w:r>
        <w:fldChar w:fldCharType="end"/>
      </w:r>
      <w:r>
        <w:fldChar w:fldCharType="end"/>
      </w:r>
    </w:p>
    <w:p w14:paraId="62F95507">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_Toc27647 </w:instrText>
      </w:r>
      <w:r>
        <w:fldChar w:fldCharType="separate"/>
      </w:r>
      <w:r>
        <w:rPr>
          <w:rFonts w:hint="eastAsia" w:ascii="微软雅黑" w:hAnsi="微软雅黑" w:eastAsia="微软雅黑" w:cs="微软雅黑"/>
          <w:szCs w:val="30"/>
        </w:rPr>
        <w:t>2方针与管理</w:t>
      </w:r>
      <w:r>
        <w:tab/>
      </w:r>
      <w:r>
        <w:fldChar w:fldCharType="begin"/>
      </w:r>
      <w:r>
        <w:instrText xml:space="preserve"> PAGEREF _Toc27647 \h </w:instrText>
      </w:r>
      <w:r>
        <w:fldChar w:fldCharType="separate"/>
      </w:r>
      <w:r>
        <w:t>17</w:t>
      </w:r>
      <w:r>
        <w:fldChar w:fldCharType="end"/>
      </w:r>
      <w:r>
        <w:fldChar w:fldCharType="end"/>
      </w:r>
    </w:p>
    <w:p w14:paraId="5E5034F9">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_Toc26205 </w:instrText>
      </w:r>
      <w:r>
        <w:fldChar w:fldCharType="separate"/>
      </w:r>
      <w:r>
        <w:rPr>
          <w:rFonts w:hint="eastAsia" w:asciiTheme="minorEastAsia" w:hAnsiTheme="minorEastAsia" w:eastAsiaTheme="minorEastAsia" w:cstheme="minorEastAsia"/>
          <w:szCs w:val="24"/>
        </w:rPr>
        <w:t>2.1环境、社会和治理方针</w:t>
      </w:r>
      <w:r>
        <w:tab/>
      </w:r>
      <w:r>
        <w:fldChar w:fldCharType="begin"/>
      </w:r>
      <w:r>
        <w:instrText xml:space="preserve"> PAGEREF _Toc26205 \h </w:instrText>
      </w:r>
      <w:r>
        <w:fldChar w:fldCharType="separate"/>
      </w:r>
      <w:r>
        <w:t>17</w:t>
      </w:r>
      <w:r>
        <w:fldChar w:fldCharType="end"/>
      </w:r>
      <w:r>
        <w:fldChar w:fldCharType="end"/>
      </w:r>
    </w:p>
    <w:p w14:paraId="04C441FA">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_Toc30350 </w:instrText>
      </w:r>
      <w:r>
        <w:fldChar w:fldCharType="separate"/>
      </w:r>
      <w:r>
        <w:rPr>
          <w:rFonts w:hint="eastAsia" w:asciiTheme="minorEastAsia" w:hAnsiTheme="minorEastAsia" w:eastAsiaTheme="minorEastAsia" w:cstheme="minorEastAsia"/>
          <w:szCs w:val="24"/>
        </w:rPr>
        <w:t>2.2 管理者代表</w:t>
      </w:r>
      <w:r>
        <w:tab/>
      </w:r>
      <w:r>
        <w:fldChar w:fldCharType="begin"/>
      </w:r>
      <w:r>
        <w:instrText xml:space="preserve"> PAGEREF _Toc30350 \h </w:instrText>
      </w:r>
      <w:r>
        <w:fldChar w:fldCharType="separate"/>
      </w:r>
      <w:r>
        <w:t>17</w:t>
      </w:r>
      <w:r>
        <w:fldChar w:fldCharType="end"/>
      </w:r>
      <w:r>
        <w:fldChar w:fldCharType="end"/>
      </w:r>
    </w:p>
    <w:p w14:paraId="5213FE71">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_Toc19341 </w:instrText>
      </w:r>
      <w:r>
        <w:fldChar w:fldCharType="separate"/>
      </w:r>
      <w:r>
        <w:rPr>
          <w:rFonts w:hint="eastAsia" w:ascii="宋体" w:hAnsi="宋体" w:eastAsia="宋体" w:cs="宋体"/>
          <w:szCs w:val="24"/>
        </w:rPr>
        <w:t>2.3 环境和社会管理体系</w:t>
      </w:r>
      <w:r>
        <w:tab/>
      </w:r>
      <w:r>
        <w:fldChar w:fldCharType="begin"/>
      </w:r>
      <w:r>
        <w:instrText xml:space="preserve"> PAGEREF _Toc19341 \h </w:instrText>
      </w:r>
      <w:r>
        <w:fldChar w:fldCharType="separate"/>
      </w:r>
      <w:r>
        <w:t>17</w:t>
      </w:r>
      <w:r>
        <w:fldChar w:fldCharType="end"/>
      </w:r>
      <w:r>
        <w:fldChar w:fldCharType="end"/>
      </w:r>
    </w:p>
    <w:p w14:paraId="600C1B63">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_Toc29068 </w:instrText>
      </w:r>
      <w:r>
        <w:fldChar w:fldCharType="separate"/>
      </w:r>
      <w:r>
        <w:rPr>
          <w:rFonts w:hint="eastAsia" w:asciiTheme="minorEastAsia" w:hAnsiTheme="minorEastAsia" w:eastAsiaTheme="minorEastAsia" w:cstheme="minorEastAsia"/>
          <w:szCs w:val="24"/>
        </w:rPr>
        <w:t>2.4 负责任采购</w:t>
      </w:r>
      <w:r>
        <w:tab/>
      </w:r>
      <w:r>
        <w:fldChar w:fldCharType="begin"/>
      </w:r>
      <w:r>
        <w:instrText xml:space="preserve"> PAGEREF _Toc29068 \h </w:instrText>
      </w:r>
      <w:r>
        <w:fldChar w:fldCharType="separate"/>
      </w:r>
      <w:r>
        <w:t>17</w:t>
      </w:r>
      <w:r>
        <w:fldChar w:fldCharType="end"/>
      </w:r>
      <w:r>
        <w:fldChar w:fldCharType="end"/>
      </w:r>
    </w:p>
    <w:p w14:paraId="1581E681">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_Toc12174 </w:instrText>
      </w:r>
      <w:r>
        <w:fldChar w:fldCharType="separate"/>
      </w:r>
      <w:r>
        <w:rPr>
          <w:rFonts w:hint="eastAsia" w:asciiTheme="minorEastAsia" w:hAnsiTheme="minorEastAsia" w:eastAsiaTheme="minorEastAsia" w:cstheme="minorEastAsia"/>
          <w:szCs w:val="24"/>
        </w:rPr>
        <w:t>2.5环境和社会影响评价</w:t>
      </w:r>
      <w:r>
        <w:tab/>
      </w:r>
      <w:r>
        <w:fldChar w:fldCharType="begin"/>
      </w:r>
      <w:r>
        <w:instrText xml:space="preserve"> PAGEREF _Toc12174 \h </w:instrText>
      </w:r>
      <w:r>
        <w:fldChar w:fldCharType="separate"/>
      </w:r>
      <w:r>
        <w:t>18</w:t>
      </w:r>
      <w:r>
        <w:fldChar w:fldCharType="end"/>
      </w:r>
      <w:r>
        <w:fldChar w:fldCharType="end"/>
      </w:r>
    </w:p>
    <w:p w14:paraId="28D6A317">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_Toc18618 </w:instrText>
      </w:r>
      <w:r>
        <w:fldChar w:fldCharType="separate"/>
      </w:r>
      <w:r>
        <w:rPr>
          <w:rFonts w:hint="eastAsia" w:asciiTheme="minorEastAsia" w:hAnsiTheme="minorEastAsia" w:eastAsiaTheme="minorEastAsia" w:cstheme="minorEastAsia"/>
          <w:szCs w:val="24"/>
        </w:rPr>
        <w:t>2.6人权影响评估</w:t>
      </w:r>
      <w:r>
        <w:tab/>
      </w:r>
      <w:r>
        <w:fldChar w:fldCharType="begin"/>
      </w:r>
      <w:r>
        <w:instrText xml:space="preserve"> PAGEREF _Toc18618 \h </w:instrText>
      </w:r>
      <w:r>
        <w:fldChar w:fldCharType="separate"/>
      </w:r>
      <w:r>
        <w:t>19</w:t>
      </w:r>
      <w:r>
        <w:fldChar w:fldCharType="end"/>
      </w:r>
      <w:r>
        <w:fldChar w:fldCharType="end"/>
      </w:r>
    </w:p>
    <w:p w14:paraId="79250543">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_Toc6668 </w:instrText>
      </w:r>
      <w:r>
        <w:fldChar w:fldCharType="separate"/>
      </w:r>
      <w:r>
        <w:rPr>
          <w:rFonts w:hint="eastAsia" w:asciiTheme="minorEastAsia" w:hAnsiTheme="minorEastAsia" w:eastAsiaTheme="minorEastAsia" w:cstheme="minorEastAsia"/>
          <w:szCs w:val="24"/>
        </w:rPr>
        <w:t>2.7应急响应计划</w:t>
      </w:r>
      <w:r>
        <w:tab/>
      </w:r>
      <w:r>
        <w:fldChar w:fldCharType="begin"/>
      </w:r>
      <w:r>
        <w:instrText xml:space="preserve"> PAGEREF _Toc6668 \h </w:instrText>
      </w:r>
      <w:r>
        <w:fldChar w:fldCharType="separate"/>
      </w:r>
      <w:r>
        <w:t>19</w:t>
      </w:r>
      <w:r>
        <w:fldChar w:fldCharType="end"/>
      </w:r>
      <w:r>
        <w:fldChar w:fldCharType="end"/>
      </w:r>
    </w:p>
    <w:p w14:paraId="017334E9">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_Toc19521 </w:instrText>
      </w:r>
      <w:r>
        <w:fldChar w:fldCharType="separate"/>
      </w:r>
      <w:r>
        <w:rPr>
          <w:rFonts w:hint="eastAsia" w:asciiTheme="minorEastAsia" w:hAnsiTheme="minorEastAsia" w:eastAsiaTheme="minorEastAsia" w:cstheme="minorEastAsia"/>
          <w:szCs w:val="24"/>
        </w:rPr>
        <w:t>2.8暂停运营</w:t>
      </w:r>
      <w:r>
        <w:tab/>
      </w:r>
      <w:r>
        <w:fldChar w:fldCharType="begin"/>
      </w:r>
      <w:r>
        <w:instrText xml:space="preserve"> PAGEREF _Toc19521 \h </w:instrText>
      </w:r>
      <w:r>
        <w:fldChar w:fldCharType="separate"/>
      </w:r>
      <w:r>
        <w:t>20</w:t>
      </w:r>
      <w:r>
        <w:fldChar w:fldCharType="end"/>
      </w:r>
      <w:r>
        <w:fldChar w:fldCharType="end"/>
      </w:r>
    </w:p>
    <w:p w14:paraId="6F6FC951">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_Toc3349 </w:instrText>
      </w:r>
      <w:r>
        <w:fldChar w:fldCharType="separate"/>
      </w:r>
      <w:r>
        <w:rPr>
          <w:rFonts w:hint="eastAsia" w:asciiTheme="minorEastAsia" w:hAnsiTheme="minorEastAsia" w:eastAsiaTheme="minorEastAsia" w:cstheme="minorEastAsia"/>
          <w:szCs w:val="24"/>
        </w:rPr>
        <w:t>2.9兼并和收购</w:t>
      </w:r>
      <w:r>
        <w:tab/>
      </w:r>
      <w:r>
        <w:fldChar w:fldCharType="begin"/>
      </w:r>
      <w:r>
        <w:instrText xml:space="preserve"> PAGEREF _Toc3349 \h </w:instrText>
      </w:r>
      <w:r>
        <w:fldChar w:fldCharType="separate"/>
      </w:r>
      <w:r>
        <w:t>20</w:t>
      </w:r>
      <w:r>
        <w:fldChar w:fldCharType="end"/>
      </w:r>
      <w:r>
        <w:fldChar w:fldCharType="end"/>
      </w:r>
    </w:p>
    <w:p w14:paraId="34BB4159">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_Toc24650 </w:instrText>
      </w:r>
      <w:r>
        <w:fldChar w:fldCharType="separate"/>
      </w:r>
      <w:r>
        <w:rPr>
          <w:rFonts w:hint="eastAsia" w:asciiTheme="minorEastAsia" w:hAnsiTheme="minorEastAsia" w:eastAsiaTheme="minorEastAsia" w:cstheme="minorEastAsia"/>
          <w:szCs w:val="24"/>
        </w:rPr>
        <w:t>2.10关闭、退役和撤资</w:t>
      </w:r>
      <w:r>
        <w:tab/>
      </w:r>
      <w:r>
        <w:fldChar w:fldCharType="begin"/>
      </w:r>
      <w:r>
        <w:instrText xml:space="preserve"> PAGEREF _Toc24650 \h </w:instrText>
      </w:r>
      <w:r>
        <w:fldChar w:fldCharType="separate"/>
      </w:r>
      <w:r>
        <w:t>20</w:t>
      </w:r>
      <w:r>
        <w:fldChar w:fldCharType="end"/>
      </w:r>
      <w:r>
        <w:fldChar w:fldCharType="end"/>
      </w:r>
    </w:p>
    <w:p w14:paraId="7DFBC45D">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rPr>
          <w:rFonts w:hint="eastAsia" w:eastAsia="宋体"/>
          <w:lang w:val="en-US" w:eastAsia="zh-CN"/>
        </w:rPr>
      </w:pPr>
      <w:r>
        <w:fldChar w:fldCharType="begin"/>
      </w:r>
      <w:r>
        <w:instrText xml:space="preserve"> HYPERLINK \l _Toc684 </w:instrText>
      </w:r>
      <w:r>
        <w:fldChar w:fldCharType="separate"/>
      </w:r>
      <w:r>
        <w:rPr>
          <w:rFonts w:hint="eastAsia" w:ascii="微软雅黑" w:hAnsi="微软雅黑" w:eastAsia="微软雅黑" w:cs="微软雅黑"/>
          <w:szCs w:val="30"/>
          <w:lang w:val="en-US" w:eastAsia="zh-CN"/>
        </w:rPr>
        <w:t>3透明度</w:t>
      </w:r>
      <w:r>
        <w:tab/>
      </w:r>
      <w:r>
        <w:rPr>
          <w:rFonts w:hint="eastAsia"/>
          <w:lang w:val="en-US" w:eastAsia="zh-CN"/>
        </w:rPr>
        <w:t>2</w:t>
      </w:r>
      <w:r>
        <w:fldChar w:fldCharType="end"/>
      </w:r>
      <w:r>
        <w:rPr>
          <w:rFonts w:hint="eastAsia"/>
          <w:lang w:val="en-US" w:eastAsia="zh-CN"/>
        </w:rPr>
        <w:t>0</w:t>
      </w:r>
    </w:p>
    <w:p w14:paraId="2B3108B3">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_Toc5295 </w:instrText>
      </w:r>
      <w:r>
        <w:fldChar w:fldCharType="separate"/>
      </w:r>
      <w:r>
        <w:rPr>
          <w:rFonts w:hint="eastAsia" w:asciiTheme="minorEastAsia" w:hAnsiTheme="minorEastAsia" w:eastAsiaTheme="minorEastAsia" w:cstheme="minorEastAsia"/>
          <w:szCs w:val="24"/>
        </w:rPr>
        <w:t>3.1可持续发展报告</w:t>
      </w:r>
      <w:r>
        <w:tab/>
      </w:r>
      <w:r>
        <w:fldChar w:fldCharType="begin"/>
      </w:r>
      <w:r>
        <w:instrText xml:space="preserve"> PAGEREF _Toc5295 \h </w:instrText>
      </w:r>
      <w:r>
        <w:fldChar w:fldCharType="separate"/>
      </w:r>
      <w:r>
        <w:t>21</w:t>
      </w:r>
      <w:r>
        <w:fldChar w:fldCharType="end"/>
      </w:r>
      <w:r>
        <w:fldChar w:fldCharType="end"/>
      </w:r>
    </w:p>
    <w:p w14:paraId="0D9475E8">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_Toc13971 </w:instrText>
      </w:r>
      <w:r>
        <w:fldChar w:fldCharType="separate"/>
      </w:r>
      <w:r>
        <w:rPr>
          <w:rFonts w:hint="eastAsia" w:asciiTheme="minorEastAsia" w:hAnsiTheme="minorEastAsia" w:eastAsiaTheme="minorEastAsia" w:cstheme="minorEastAsia"/>
          <w:szCs w:val="24"/>
        </w:rPr>
        <w:t>3.2 违规及责任</w:t>
      </w:r>
      <w:r>
        <w:tab/>
      </w:r>
      <w:r>
        <w:fldChar w:fldCharType="begin"/>
      </w:r>
      <w:r>
        <w:instrText xml:space="preserve"> PAGEREF _Toc13971 \h </w:instrText>
      </w:r>
      <w:r>
        <w:fldChar w:fldCharType="separate"/>
      </w:r>
      <w:r>
        <w:t>21</w:t>
      </w:r>
      <w:r>
        <w:fldChar w:fldCharType="end"/>
      </w:r>
      <w:r>
        <w:fldChar w:fldCharType="end"/>
      </w:r>
    </w:p>
    <w:p w14:paraId="19198B79">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_Toc9438 </w:instrText>
      </w:r>
      <w:r>
        <w:fldChar w:fldCharType="separate"/>
      </w:r>
      <w:r>
        <w:rPr>
          <w:rFonts w:hint="eastAsia" w:asciiTheme="minorEastAsia" w:hAnsiTheme="minorEastAsia" w:eastAsiaTheme="minorEastAsia" w:cstheme="minorEastAsia"/>
          <w:szCs w:val="24"/>
        </w:rPr>
        <w:t>3.3 给政府的付款</w:t>
      </w:r>
      <w:r>
        <w:tab/>
      </w:r>
      <w:r>
        <w:fldChar w:fldCharType="begin"/>
      </w:r>
      <w:r>
        <w:instrText xml:space="preserve"> PAGEREF _Toc9438 \h </w:instrText>
      </w:r>
      <w:r>
        <w:fldChar w:fldCharType="separate"/>
      </w:r>
      <w:r>
        <w:t>22</w:t>
      </w:r>
      <w:r>
        <w:fldChar w:fldCharType="end"/>
      </w:r>
      <w:r>
        <w:fldChar w:fldCharType="end"/>
      </w:r>
    </w:p>
    <w:p w14:paraId="18A8CEB9">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_Toc27269 </w:instrText>
      </w:r>
      <w:r>
        <w:fldChar w:fldCharType="separate"/>
      </w:r>
      <w:r>
        <w:rPr>
          <w:rFonts w:hint="eastAsia" w:asciiTheme="minorEastAsia" w:hAnsiTheme="minorEastAsia" w:eastAsiaTheme="minorEastAsia" w:cstheme="minorEastAsia"/>
          <w:szCs w:val="24"/>
        </w:rPr>
        <w:t>3.4 利益相关方投诉、申诉及信息要求</w:t>
      </w:r>
      <w:r>
        <w:tab/>
      </w:r>
      <w:r>
        <w:fldChar w:fldCharType="begin"/>
      </w:r>
      <w:r>
        <w:instrText xml:space="preserve"> PAGEREF _Toc27269 \h </w:instrText>
      </w:r>
      <w:r>
        <w:fldChar w:fldCharType="separate"/>
      </w:r>
      <w:r>
        <w:t>22</w:t>
      </w:r>
      <w:r>
        <w:fldChar w:fldCharType="end"/>
      </w:r>
      <w:r>
        <w:fldChar w:fldCharType="end"/>
      </w:r>
    </w:p>
    <w:p w14:paraId="7BF626BC">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_Toc684 </w:instrText>
      </w:r>
      <w:r>
        <w:fldChar w:fldCharType="separate"/>
      </w:r>
      <w:r>
        <w:rPr>
          <w:rFonts w:hint="eastAsia" w:ascii="微软雅黑" w:hAnsi="微软雅黑" w:eastAsia="微软雅黑" w:cs="微软雅黑"/>
          <w:szCs w:val="30"/>
        </w:rPr>
        <w:t>4材料管理</w:t>
      </w:r>
      <w:r>
        <w:tab/>
      </w:r>
      <w:r>
        <w:fldChar w:fldCharType="begin"/>
      </w:r>
      <w:r>
        <w:instrText xml:space="preserve"> PAGEREF _Toc684 \h </w:instrText>
      </w:r>
      <w:r>
        <w:fldChar w:fldCharType="separate"/>
      </w:r>
      <w:r>
        <w:t>24</w:t>
      </w:r>
      <w:r>
        <w:fldChar w:fldCharType="end"/>
      </w:r>
      <w:r>
        <w:fldChar w:fldCharType="end"/>
      </w:r>
    </w:p>
    <w:p w14:paraId="5C76DB34">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_Toc28373 </w:instrText>
      </w:r>
      <w:r>
        <w:fldChar w:fldCharType="separate"/>
      </w:r>
      <w:r>
        <w:rPr>
          <w:rFonts w:hint="eastAsia" w:asciiTheme="minorEastAsia" w:hAnsiTheme="minorEastAsia" w:eastAsiaTheme="minorEastAsia" w:cstheme="minorEastAsia"/>
          <w:szCs w:val="24"/>
        </w:rPr>
        <w:t>4.1环境生命周期评价</w:t>
      </w:r>
      <w:r>
        <w:tab/>
      </w:r>
      <w:r>
        <w:fldChar w:fldCharType="begin"/>
      </w:r>
      <w:r>
        <w:instrText xml:space="preserve"> PAGEREF _Toc28373 \h </w:instrText>
      </w:r>
      <w:r>
        <w:fldChar w:fldCharType="separate"/>
      </w:r>
      <w:r>
        <w:t>24</w:t>
      </w:r>
      <w:r>
        <w:fldChar w:fldCharType="end"/>
      </w:r>
      <w:r>
        <w:fldChar w:fldCharType="end"/>
      </w:r>
    </w:p>
    <w:p w14:paraId="53BFCE6E">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_Toc31919 </w:instrText>
      </w:r>
      <w:r>
        <w:fldChar w:fldCharType="separate"/>
      </w:r>
      <w:r>
        <w:rPr>
          <w:rFonts w:hint="eastAsia" w:asciiTheme="minorEastAsia" w:hAnsiTheme="minorEastAsia" w:eastAsiaTheme="minorEastAsia" w:cstheme="minorEastAsia"/>
          <w:szCs w:val="24"/>
        </w:rPr>
        <w:t>4.2 产品设计</w:t>
      </w:r>
      <w:r>
        <w:tab/>
      </w:r>
      <w:r>
        <w:fldChar w:fldCharType="begin"/>
      </w:r>
      <w:r>
        <w:instrText xml:space="preserve"> PAGEREF _Toc31919 \h </w:instrText>
      </w:r>
      <w:r>
        <w:fldChar w:fldCharType="separate"/>
      </w:r>
      <w:r>
        <w:t>24</w:t>
      </w:r>
      <w:r>
        <w:fldChar w:fldCharType="end"/>
      </w:r>
      <w:r>
        <w:fldChar w:fldCharType="end"/>
      </w:r>
    </w:p>
    <w:p w14:paraId="5D501699">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_Toc19345 </w:instrText>
      </w:r>
      <w:r>
        <w:fldChar w:fldCharType="separate"/>
      </w:r>
      <w:r>
        <w:rPr>
          <w:rFonts w:hint="eastAsia" w:asciiTheme="minorEastAsia" w:hAnsiTheme="minorEastAsia" w:eastAsiaTheme="minorEastAsia" w:cstheme="minorEastAsia"/>
          <w:szCs w:val="24"/>
        </w:rPr>
        <w:t>4.3 铝的工艺废料</w:t>
      </w:r>
      <w:r>
        <w:tab/>
      </w:r>
      <w:r>
        <w:fldChar w:fldCharType="begin"/>
      </w:r>
      <w:r>
        <w:instrText xml:space="preserve"> PAGEREF _Toc19345 \h </w:instrText>
      </w:r>
      <w:r>
        <w:fldChar w:fldCharType="separate"/>
      </w:r>
      <w:r>
        <w:t>24</w:t>
      </w:r>
      <w:r>
        <w:fldChar w:fldCharType="end"/>
      </w:r>
      <w:r>
        <w:fldChar w:fldCharType="end"/>
      </w:r>
    </w:p>
    <w:p w14:paraId="48A02519">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_Toc26441 </w:instrText>
      </w:r>
      <w:r>
        <w:fldChar w:fldCharType="separate"/>
      </w:r>
      <w:r>
        <w:rPr>
          <w:rFonts w:hint="eastAsia" w:asciiTheme="minorEastAsia" w:hAnsiTheme="minorEastAsia" w:eastAsiaTheme="minorEastAsia" w:cstheme="minorEastAsia"/>
          <w:szCs w:val="24"/>
        </w:rPr>
        <w:t>4.4 报废产品的回收和循环利用</w:t>
      </w:r>
      <w:r>
        <w:tab/>
      </w:r>
      <w:r>
        <w:fldChar w:fldCharType="begin"/>
      </w:r>
      <w:r>
        <w:instrText xml:space="preserve"> PAGEREF _Toc26441 \h </w:instrText>
      </w:r>
      <w:r>
        <w:fldChar w:fldCharType="separate"/>
      </w:r>
      <w:r>
        <w:t>25</w:t>
      </w:r>
      <w:r>
        <w:fldChar w:fldCharType="end"/>
      </w:r>
      <w:r>
        <w:fldChar w:fldCharType="end"/>
      </w:r>
    </w:p>
    <w:p w14:paraId="4D6EC838">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_Toc26104 </w:instrText>
      </w:r>
      <w:r>
        <w:fldChar w:fldCharType="separate"/>
      </w:r>
      <w:r>
        <w:rPr>
          <w:rFonts w:hint="eastAsia" w:ascii="微软雅黑" w:hAnsi="微软雅黑" w:eastAsia="微软雅黑" w:cs="微软雅黑"/>
          <w:szCs w:val="30"/>
        </w:rPr>
        <w:t>5环境</w:t>
      </w:r>
      <w:r>
        <w:tab/>
      </w:r>
      <w:r>
        <w:fldChar w:fldCharType="begin"/>
      </w:r>
      <w:r>
        <w:instrText xml:space="preserve"> PAGEREF _Toc26104 \h </w:instrText>
      </w:r>
      <w:r>
        <w:fldChar w:fldCharType="separate"/>
      </w:r>
      <w:r>
        <w:t>26</w:t>
      </w:r>
      <w:r>
        <w:fldChar w:fldCharType="end"/>
      </w:r>
      <w:r>
        <w:fldChar w:fldCharType="end"/>
      </w:r>
    </w:p>
    <w:p w14:paraId="06595370">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_Toc29592 </w:instrText>
      </w:r>
      <w:r>
        <w:fldChar w:fldCharType="separate"/>
      </w:r>
      <w:r>
        <w:rPr>
          <w:rFonts w:hint="eastAsia" w:asciiTheme="minorEastAsia" w:hAnsiTheme="minorEastAsia" w:eastAsiaTheme="minorEastAsia" w:cstheme="minorEastAsia"/>
          <w:szCs w:val="24"/>
        </w:rPr>
        <w:t>5.1披露温室气体排放和能源使用情况</w:t>
      </w:r>
      <w:r>
        <w:tab/>
      </w:r>
      <w:r>
        <w:fldChar w:fldCharType="begin"/>
      </w:r>
      <w:r>
        <w:instrText xml:space="preserve"> PAGEREF _Toc29592 \h </w:instrText>
      </w:r>
      <w:r>
        <w:fldChar w:fldCharType="separate"/>
      </w:r>
      <w:r>
        <w:t>26</w:t>
      </w:r>
      <w:r>
        <w:fldChar w:fldCharType="end"/>
      </w:r>
      <w:r>
        <w:fldChar w:fldCharType="end"/>
      </w:r>
    </w:p>
    <w:p w14:paraId="70AD565F">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_Toc28704 </w:instrText>
      </w:r>
      <w:r>
        <w:fldChar w:fldCharType="separate"/>
      </w:r>
      <w:r>
        <w:rPr>
          <w:rFonts w:hint="eastAsia" w:asciiTheme="minorEastAsia" w:hAnsiTheme="minorEastAsia" w:eastAsiaTheme="minorEastAsia" w:cstheme="minorEastAsia"/>
          <w:szCs w:val="24"/>
        </w:rPr>
        <w:t>5.2铝冶炼厂温室气体排放强度</w:t>
      </w:r>
      <w:r>
        <w:tab/>
      </w:r>
      <w:r>
        <w:fldChar w:fldCharType="begin"/>
      </w:r>
      <w:r>
        <w:instrText xml:space="preserve"> PAGEREF _Toc28704 \h </w:instrText>
      </w:r>
      <w:r>
        <w:fldChar w:fldCharType="separate"/>
      </w:r>
      <w:r>
        <w:t>26</w:t>
      </w:r>
      <w:r>
        <w:fldChar w:fldCharType="end"/>
      </w:r>
      <w:r>
        <w:fldChar w:fldCharType="end"/>
      </w:r>
    </w:p>
    <w:p w14:paraId="3B6537C7">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_Toc772 </w:instrText>
      </w:r>
      <w:r>
        <w:fldChar w:fldCharType="separate"/>
      </w:r>
      <w:r>
        <w:rPr>
          <w:rFonts w:hint="eastAsia" w:asciiTheme="minorEastAsia" w:hAnsiTheme="minorEastAsia" w:eastAsiaTheme="minorEastAsia" w:cstheme="minorEastAsia"/>
          <w:szCs w:val="24"/>
        </w:rPr>
        <w:t>5.3温室气体减排</w:t>
      </w:r>
      <w:r>
        <w:tab/>
      </w:r>
      <w:r>
        <w:fldChar w:fldCharType="begin"/>
      </w:r>
      <w:r>
        <w:instrText xml:space="preserve"> PAGEREF _Toc772 \h </w:instrText>
      </w:r>
      <w:r>
        <w:fldChar w:fldCharType="separate"/>
      </w:r>
      <w:r>
        <w:t>26</w:t>
      </w:r>
      <w:r>
        <w:fldChar w:fldCharType="end"/>
      </w:r>
      <w:r>
        <w:fldChar w:fldCharType="end"/>
      </w:r>
    </w:p>
    <w:p w14:paraId="73D3448B">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_Toc1745 </w:instrText>
      </w:r>
      <w:r>
        <w:fldChar w:fldCharType="separate"/>
      </w:r>
      <w:r>
        <w:rPr>
          <w:rFonts w:hint="eastAsia" w:asciiTheme="minorEastAsia" w:hAnsiTheme="minorEastAsia" w:eastAsiaTheme="minorEastAsia" w:cstheme="minorEastAsia"/>
          <w:szCs w:val="24"/>
        </w:rPr>
        <w:t>5.4温室气体排放管理</w:t>
      </w:r>
      <w:r>
        <w:tab/>
      </w:r>
      <w:r>
        <w:fldChar w:fldCharType="begin"/>
      </w:r>
      <w:r>
        <w:instrText xml:space="preserve"> PAGEREF _Toc1745 \h </w:instrText>
      </w:r>
      <w:r>
        <w:fldChar w:fldCharType="separate"/>
      </w:r>
      <w:r>
        <w:t>27</w:t>
      </w:r>
      <w:r>
        <w:fldChar w:fldCharType="end"/>
      </w:r>
      <w:r>
        <w:fldChar w:fldCharType="end"/>
      </w:r>
    </w:p>
    <w:p w14:paraId="4275C213">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_Toc1069 </w:instrText>
      </w:r>
      <w:r>
        <w:fldChar w:fldCharType="separate"/>
      </w:r>
      <w:r>
        <w:rPr>
          <w:rFonts w:hint="eastAsia" w:ascii="微软雅黑" w:hAnsi="微软雅黑" w:eastAsia="微软雅黑" w:cs="微软雅黑"/>
          <w:szCs w:val="30"/>
        </w:rPr>
        <w:t>6大气污染物、水污染物和固体废物</w:t>
      </w:r>
      <w:r>
        <w:tab/>
      </w:r>
      <w:r>
        <w:fldChar w:fldCharType="begin"/>
      </w:r>
      <w:r>
        <w:instrText xml:space="preserve"> PAGEREF _Toc1069 \h </w:instrText>
      </w:r>
      <w:r>
        <w:fldChar w:fldCharType="separate"/>
      </w:r>
      <w:r>
        <w:t>28</w:t>
      </w:r>
      <w:r>
        <w:fldChar w:fldCharType="end"/>
      </w:r>
      <w:r>
        <w:fldChar w:fldCharType="end"/>
      </w:r>
    </w:p>
    <w:p w14:paraId="233EAFD7">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_Toc30528 </w:instrText>
      </w:r>
      <w:r>
        <w:fldChar w:fldCharType="separate"/>
      </w:r>
      <w:r>
        <w:rPr>
          <w:rFonts w:hint="eastAsia" w:asciiTheme="minorEastAsia" w:hAnsiTheme="minorEastAsia" w:eastAsiaTheme="minorEastAsia" w:cstheme="minorEastAsia"/>
          <w:szCs w:val="24"/>
        </w:rPr>
        <w:t>6.1大气污染物排放</w:t>
      </w:r>
      <w:r>
        <w:tab/>
      </w:r>
      <w:r>
        <w:fldChar w:fldCharType="begin"/>
      </w:r>
      <w:r>
        <w:instrText xml:space="preserve"> PAGEREF _Toc30528 \h </w:instrText>
      </w:r>
      <w:r>
        <w:fldChar w:fldCharType="separate"/>
      </w:r>
      <w:r>
        <w:t>28</w:t>
      </w:r>
      <w:r>
        <w:fldChar w:fldCharType="end"/>
      </w:r>
      <w:r>
        <w:fldChar w:fldCharType="end"/>
      </w:r>
    </w:p>
    <w:p w14:paraId="4FE6856D">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_Toc3135 </w:instrText>
      </w:r>
      <w:r>
        <w:fldChar w:fldCharType="separate"/>
      </w:r>
      <w:r>
        <w:rPr>
          <w:rFonts w:hint="eastAsia" w:asciiTheme="minorEastAsia" w:hAnsiTheme="minorEastAsia" w:eastAsiaTheme="minorEastAsia" w:cstheme="minorEastAsia"/>
          <w:szCs w:val="24"/>
        </w:rPr>
        <w:t>6.2 水污染排放</w:t>
      </w:r>
      <w:r>
        <w:tab/>
      </w:r>
      <w:r>
        <w:fldChar w:fldCharType="begin"/>
      </w:r>
      <w:r>
        <w:instrText xml:space="preserve"> PAGEREF _Toc3135 \h </w:instrText>
      </w:r>
      <w:r>
        <w:fldChar w:fldCharType="separate"/>
      </w:r>
      <w:r>
        <w:t>28</w:t>
      </w:r>
      <w:r>
        <w:fldChar w:fldCharType="end"/>
      </w:r>
      <w:r>
        <w:fldChar w:fldCharType="end"/>
      </w:r>
    </w:p>
    <w:p w14:paraId="62CC6113">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_Toc13196 </w:instrText>
      </w:r>
      <w:r>
        <w:fldChar w:fldCharType="separate"/>
      </w:r>
      <w:r>
        <w:rPr>
          <w:rFonts w:hint="eastAsia" w:asciiTheme="minorEastAsia" w:hAnsiTheme="minorEastAsia" w:eastAsiaTheme="minorEastAsia" w:cstheme="minorEastAsia"/>
          <w:szCs w:val="24"/>
        </w:rPr>
        <w:t>6.3 泄漏与渗漏的评估与管理</w:t>
      </w:r>
      <w:r>
        <w:tab/>
      </w:r>
      <w:r>
        <w:fldChar w:fldCharType="begin"/>
      </w:r>
      <w:r>
        <w:instrText xml:space="preserve"> PAGEREF _Toc13196 \h </w:instrText>
      </w:r>
      <w:r>
        <w:fldChar w:fldCharType="separate"/>
      </w:r>
      <w:r>
        <w:t>29</w:t>
      </w:r>
      <w:r>
        <w:fldChar w:fldCharType="end"/>
      </w:r>
      <w:r>
        <w:fldChar w:fldCharType="end"/>
      </w:r>
    </w:p>
    <w:p w14:paraId="16445039">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_Toc14330 </w:instrText>
      </w:r>
      <w:r>
        <w:fldChar w:fldCharType="separate"/>
      </w:r>
      <w:r>
        <w:rPr>
          <w:rFonts w:hint="eastAsia" w:asciiTheme="minorEastAsia" w:hAnsiTheme="minorEastAsia" w:eastAsiaTheme="minorEastAsia" w:cstheme="minorEastAsia"/>
          <w:szCs w:val="24"/>
        </w:rPr>
        <w:t>6.4公开披露泄漏和渗漏。</w:t>
      </w:r>
      <w:r>
        <w:tab/>
      </w:r>
      <w:r>
        <w:fldChar w:fldCharType="begin"/>
      </w:r>
      <w:r>
        <w:instrText xml:space="preserve"> PAGEREF _Toc14330 \h </w:instrText>
      </w:r>
      <w:r>
        <w:fldChar w:fldCharType="separate"/>
      </w:r>
      <w:r>
        <w:t>29</w:t>
      </w:r>
      <w:r>
        <w:fldChar w:fldCharType="end"/>
      </w:r>
      <w:r>
        <w:fldChar w:fldCharType="end"/>
      </w:r>
    </w:p>
    <w:p w14:paraId="67DA3B54">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_Toc29733 </w:instrText>
      </w:r>
      <w:r>
        <w:fldChar w:fldCharType="separate"/>
      </w:r>
      <w:r>
        <w:rPr>
          <w:rFonts w:hint="eastAsia" w:asciiTheme="minorEastAsia" w:hAnsiTheme="minorEastAsia" w:eastAsiaTheme="minorEastAsia" w:cstheme="minorEastAsia"/>
          <w:szCs w:val="24"/>
        </w:rPr>
        <w:t>6.5废物的管理和报告</w:t>
      </w:r>
      <w:r>
        <w:tab/>
      </w:r>
      <w:r>
        <w:fldChar w:fldCharType="begin"/>
      </w:r>
      <w:r>
        <w:instrText xml:space="preserve"> PAGEREF _Toc29733 \h </w:instrText>
      </w:r>
      <w:r>
        <w:fldChar w:fldCharType="separate"/>
      </w:r>
      <w:r>
        <w:t>29</w:t>
      </w:r>
      <w:r>
        <w:fldChar w:fldCharType="end"/>
      </w:r>
      <w:r>
        <w:fldChar w:fldCharType="end"/>
      </w:r>
    </w:p>
    <w:p w14:paraId="463CA74B">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_Toc31217 </w:instrText>
      </w:r>
      <w:r>
        <w:fldChar w:fldCharType="separate"/>
      </w:r>
      <w:r>
        <w:rPr>
          <w:rFonts w:hint="eastAsia" w:asciiTheme="minorEastAsia" w:hAnsiTheme="minorEastAsia" w:eastAsiaTheme="minorEastAsia" w:cstheme="minorEastAsia"/>
          <w:szCs w:val="24"/>
        </w:rPr>
        <w:t>6.6铝土矿赤泥</w:t>
      </w:r>
      <w:r>
        <w:tab/>
      </w:r>
      <w:r>
        <w:fldChar w:fldCharType="begin"/>
      </w:r>
      <w:r>
        <w:instrText xml:space="preserve"> PAGEREF _Toc31217 \h </w:instrText>
      </w:r>
      <w:r>
        <w:fldChar w:fldCharType="separate"/>
      </w:r>
      <w:r>
        <w:t>30</w:t>
      </w:r>
      <w:r>
        <w:fldChar w:fldCharType="end"/>
      </w:r>
      <w:r>
        <w:fldChar w:fldCharType="end"/>
      </w:r>
    </w:p>
    <w:p w14:paraId="3D23F1A7">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_Toc13714 </w:instrText>
      </w:r>
      <w:r>
        <w:fldChar w:fldCharType="separate"/>
      </w:r>
      <w:r>
        <w:rPr>
          <w:rFonts w:hint="eastAsia" w:asciiTheme="minorEastAsia" w:hAnsiTheme="minorEastAsia" w:eastAsiaTheme="minorEastAsia" w:cstheme="minorEastAsia"/>
          <w:szCs w:val="24"/>
        </w:rPr>
        <w:t>6.</w:t>
      </w:r>
      <w:r>
        <w:rPr>
          <w:rFonts w:hint="eastAsia" w:asciiTheme="minorEastAsia" w:hAnsiTheme="minorEastAsia" w:eastAsiaTheme="minorEastAsia" w:cstheme="minorEastAsia"/>
          <w:szCs w:val="24"/>
          <w:lang w:val="en-US" w:eastAsia="zh-CN"/>
        </w:rPr>
        <w:t>7</w:t>
      </w:r>
      <w:r>
        <w:rPr>
          <w:rFonts w:hint="eastAsia" w:asciiTheme="minorEastAsia" w:hAnsiTheme="minorEastAsia" w:eastAsiaTheme="minorEastAsia" w:cstheme="minorEastAsia"/>
          <w:szCs w:val="24"/>
        </w:rPr>
        <w:t xml:space="preserve"> 电解槽大修渣</w:t>
      </w:r>
      <w:r>
        <w:tab/>
      </w:r>
      <w:r>
        <w:fldChar w:fldCharType="begin"/>
      </w:r>
      <w:r>
        <w:instrText xml:space="preserve"> PAGEREF _Toc13714 \h </w:instrText>
      </w:r>
      <w:r>
        <w:fldChar w:fldCharType="separate"/>
      </w:r>
      <w:r>
        <w:t>30</w:t>
      </w:r>
      <w:r>
        <w:fldChar w:fldCharType="end"/>
      </w:r>
      <w:r>
        <w:fldChar w:fldCharType="end"/>
      </w:r>
    </w:p>
    <w:p w14:paraId="517C02C0">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_Toc26575 </w:instrText>
      </w:r>
      <w:r>
        <w:fldChar w:fldCharType="separate"/>
      </w:r>
      <w:r>
        <w:rPr>
          <w:rFonts w:hint="eastAsia" w:asciiTheme="minorEastAsia" w:hAnsiTheme="minorEastAsia" w:eastAsiaTheme="minorEastAsia" w:cstheme="minorEastAsia"/>
          <w:szCs w:val="24"/>
        </w:rPr>
        <w:t>6.</w:t>
      </w:r>
      <w:r>
        <w:rPr>
          <w:rFonts w:hint="eastAsia" w:asciiTheme="minorEastAsia" w:hAnsiTheme="minorEastAsia" w:eastAsiaTheme="minorEastAsia" w:cstheme="minorEastAsia"/>
          <w:szCs w:val="24"/>
          <w:lang w:val="en-US" w:eastAsia="zh-CN"/>
        </w:rPr>
        <w:t>8</w:t>
      </w:r>
      <w:r>
        <w:rPr>
          <w:rFonts w:hint="eastAsia" w:asciiTheme="minorEastAsia" w:hAnsiTheme="minorEastAsia" w:eastAsiaTheme="minorEastAsia" w:cstheme="minorEastAsia"/>
          <w:szCs w:val="24"/>
        </w:rPr>
        <w:t xml:space="preserve"> 铝灰渣</w:t>
      </w:r>
      <w:r>
        <w:tab/>
      </w:r>
      <w:r>
        <w:fldChar w:fldCharType="begin"/>
      </w:r>
      <w:r>
        <w:instrText xml:space="preserve"> PAGEREF _Toc26575 \h </w:instrText>
      </w:r>
      <w:r>
        <w:fldChar w:fldCharType="separate"/>
      </w:r>
      <w:r>
        <w:t>30</w:t>
      </w:r>
      <w:r>
        <w:fldChar w:fldCharType="end"/>
      </w:r>
      <w:r>
        <w:fldChar w:fldCharType="end"/>
      </w:r>
    </w:p>
    <w:p w14:paraId="0381A9A5">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_Toc32041 </w:instrText>
      </w:r>
      <w:r>
        <w:fldChar w:fldCharType="separate"/>
      </w:r>
      <w:r>
        <w:rPr>
          <w:rFonts w:hint="eastAsia" w:ascii="微软雅黑" w:hAnsi="微软雅黑" w:eastAsia="微软雅黑" w:cs="微软雅黑"/>
          <w:szCs w:val="30"/>
        </w:rPr>
        <w:t>7水资源管理</w:t>
      </w:r>
      <w:r>
        <w:tab/>
      </w:r>
      <w:r>
        <w:fldChar w:fldCharType="begin"/>
      </w:r>
      <w:r>
        <w:instrText xml:space="preserve"> PAGEREF _Toc32041 \h </w:instrText>
      </w:r>
      <w:r>
        <w:fldChar w:fldCharType="separate"/>
      </w:r>
      <w:r>
        <w:t>31</w:t>
      </w:r>
      <w:r>
        <w:fldChar w:fldCharType="end"/>
      </w:r>
      <w:r>
        <w:fldChar w:fldCharType="end"/>
      </w:r>
    </w:p>
    <w:p w14:paraId="28982DEF">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_Toc26268 </w:instrText>
      </w:r>
      <w:r>
        <w:fldChar w:fldCharType="separate"/>
      </w:r>
      <w:r>
        <w:rPr>
          <w:rFonts w:hint="eastAsia" w:asciiTheme="minorEastAsia" w:hAnsiTheme="minorEastAsia" w:eastAsiaTheme="minorEastAsia" w:cstheme="minorEastAsia"/>
          <w:szCs w:val="24"/>
          <w:highlight w:val="none"/>
        </w:rPr>
        <w:t>7.1水的评估</w:t>
      </w:r>
      <w:r>
        <w:tab/>
      </w:r>
      <w:r>
        <w:fldChar w:fldCharType="begin"/>
      </w:r>
      <w:r>
        <w:instrText xml:space="preserve"> PAGEREF _Toc26268 \h </w:instrText>
      </w:r>
      <w:r>
        <w:fldChar w:fldCharType="separate"/>
      </w:r>
      <w:r>
        <w:t>31</w:t>
      </w:r>
      <w:r>
        <w:fldChar w:fldCharType="end"/>
      </w:r>
      <w:r>
        <w:fldChar w:fldCharType="end"/>
      </w:r>
    </w:p>
    <w:p w14:paraId="69E3E73E">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_Toc25777 </w:instrText>
      </w:r>
      <w:r>
        <w:fldChar w:fldCharType="separate"/>
      </w:r>
      <w:r>
        <w:rPr>
          <w:rFonts w:hint="eastAsia" w:asciiTheme="minorEastAsia" w:hAnsiTheme="minorEastAsia" w:eastAsiaTheme="minorEastAsia" w:cstheme="minorEastAsia"/>
          <w:szCs w:val="24"/>
        </w:rPr>
        <w:t>7.2 水资源管理</w:t>
      </w:r>
      <w:r>
        <w:tab/>
      </w:r>
      <w:r>
        <w:fldChar w:fldCharType="begin"/>
      </w:r>
      <w:r>
        <w:instrText xml:space="preserve"> PAGEREF _Toc25777 \h </w:instrText>
      </w:r>
      <w:r>
        <w:fldChar w:fldCharType="separate"/>
      </w:r>
      <w:r>
        <w:t>31</w:t>
      </w:r>
      <w:r>
        <w:fldChar w:fldCharType="end"/>
      </w:r>
      <w:r>
        <w:fldChar w:fldCharType="end"/>
      </w:r>
    </w:p>
    <w:p w14:paraId="48AD0BD6">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_Toc22107 </w:instrText>
      </w:r>
      <w:r>
        <w:fldChar w:fldCharType="separate"/>
      </w:r>
      <w:r>
        <w:rPr>
          <w:rFonts w:hint="eastAsia" w:ascii="微软雅黑" w:hAnsi="微软雅黑" w:eastAsia="微软雅黑" w:cs="微软雅黑"/>
          <w:szCs w:val="30"/>
        </w:rPr>
        <w:t>8生物多样性和生态系统服务</w:t>
      </w:r>
      <w:r>
        <w:tab/>
      </w:r>
      <w:r>
        <w:fldChar w:fldCharType="begin"/>
      </w:r>
      <w:r>
        <w:instrText xml:space="preserve"> PAGEREF _Toc22107 \h </w:instrText>
      </w:r>
      <w:r>
        <w:fldChar w:fldCharType="separate"/>
      </w:r>
      <w:r>
        <w:t>32</w:t>
      </w:r>
      <w:r>
        <w:fldChar w:fldCharType="end"/>
      </w:r>
      <w:r>
        <w:fldChar w:fldCharType="end"/>
      </w:r>
    </w:p>
    <w:p w14:paraId="656E03B4">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_Toc11281 </w:instrText>
      </w:r>
      <w:r>
        <w:fldChar w:fldCharType="separate"/>
      </w:r>
      <w:r>
        <w:rPr>
          <w:rFonts w:hint="eastAsia" w:asciiTheme="minorEastAsia" w:hAnsiTheme="minorEastAsia" w:eastAsiaTheme="minorEastAsia" w:cstheme="minorEastAsia"/>
        </w:rPr>
        <w:t>8.1 生物多样性和生态系统服务的风险及影响评估。</w:t>
      </w:r>
      <w:r>
        <w:tab/>
      </w:r>
      <w:r>
        <w:fldChar w:fldCharType="begin"/>
      </w:r>
      <w:r>
        <w:instrText xml:space="preserve"> PAGEREF _Toc11281 \h </w:instrText>
      </w:r>
      <w:r>
        <w:fldChar w:fldCharType="separate"/>
      </w:r>
      <w:r>
        <w:t>32</w:t>
      </w:r>
      <w:r>
        <w:fldChar w:fldCharType="end"/>
      </w:r>
      <w:r>
        <w:fldChar w:fldCharType="end"/>
      </w:r>
    </w:p>
    <w:p w14:paraId="7395E142">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_Toc8063 </w:instrText>
      </w:r>
      <w:r>
        <w:fldChar w:fldCharType="separate"/>
      </w:r>
      <w:r>
        <w:rPr>
          <w:rFonts w:hint="eastAsia" w:asciiTheme="minorEastAsia" w:hAnsiTheme="minorEastAsia" w:eastAsiaTheme="minorEastAsia" w:cstheme="minorEastAsia"/>
          <w:szCs w:val="24"/>
        </w:rPr>
        <w:t>8.2 生物多样性的管理</w:t>
      </w:r>
      <w:r>
        <w:tab/>
      </w:r>
      <w:r>
        <w:fldChar w:fldCharType="begin"/>
      </w:r>
      <w:r>
        <w:instrText xml:space="preserve"> PAGEREF _Toc8063 \h </w:instrText>
      </w:r>
      <w:r>
        <w:fldChar w:fldCharType="separate"/>
      </w:r>
      <w:r>
        <w:t>32</w:t>
      </w:r>
      <w:r>
        <w:fldChar w:fldCharType="end"/>
      </w:r>
      <w:r>
        <w:fldChar w:fldCharType="end"/>
      </w:r>
    </w:p>
    <w:p w14:paraId="671FD218">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_Toc18807 </w:instrText>
      </w:r>
      <w:r>
        <w:fldChar w:fldCharType="separate"/>
      </w:r>
      <w:r>
        <w:rPr>
          <w:rFonts w:hint="eastAsia" w:asciiTheme="minorEastAsia" w:hAnsiTheme="minorEastAsia" w:eastAsiaTheme="minorEastAsia" w:cstheme="minorEastAsia"/>
          <w:szCs w:val="24"/>
          <w:highlight w:val="none"/>
        </w:rPr>
        <w:t>8.3生态系统服务管理</w:t>
      </w:r>
      <w:r>
        <w:tab/>
      </w:r>
      <w:r>
        <w:fldChar w:fldCharType="begin"/>
      </w:r>
      <w:r>
        <w:instrText xml:space="preserve"> PAGEREF _Toc18807 \h </w:instrText>
      </w:r>
      <w:r>
        <w:fldChar w:fldCharType="separate"/>
      </w:r>
      <w:r>
        <w:t>33</w:t>
      </w:r>
      <w:r>
        <w:fldChar w:fldCharType="end"/>
      </w:r>
      <w:r>
        <w:fldChar w:fldCharType="end"/>
      </w:r>
    </w:p>
    <w:p w14:paraId="5E0364C4">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_Toc22780 </w:instrText>
      </w:r>
      <w:r>
        <w:fldChar w:fldCharType="separate"/>
      </w:r>
      <w:r>
        <w:rPr>
          <w:rFonts w:hint="eastAsia" w:asciiTheme="minorEastAsia" w:hAnsiTheme="minorEastAsia" w:eastAsiaTheme="minorEastAsia" w:cstheme="minorEastAsia"/>
          <w:szCs w:val="24"/>
        </w:rPr>
        <w:t>8.4外来物种</w:t>
      </w:r>
      <w:r>
        <w:tab/>
      </w:r>
      <w:r>
        <w:fldChar w:fldCharType="begin"/>
      </w:r>
      <w:r>
        <w:instrText xml:space="preserve"> PAGEREF _Toc22780 \h </w:instrText>
      </w:r>
      <w:r>
        <w:fldChar w:fldCharType="separate"/>
      </w:r>
      <w:r>
        <w:t>33</w:t>
      </w:r>
      <w:r>
        <w:fldChar w:fldCharType="end"/>
      </w:r>
      <w:r>
        <w:fldChar w:fldCharType="end"/>
      </w:r>
    </w:p>
    <w:p w14:paraId="017C00DD">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_Toc29586 </w:instrText>
      </w:r>
      <w:r>
        <w:fldChar w:fldCharType="separate"/>
      </w:r>
      <w:r>
        <w:rPr>
          <w:rFonts w:hint="eastAsia" w:asciiTheme="minorEastAsia" w:hAnsiTheme="minorEastAsia" w:eastAsiaTheme="minorEastAsia" w:cstheme="minorEastAsia"/>
          <w:szCs w:val="24"/>
        </w:rPr>
        <w:t>8.5 承诺“禁入”世界遗产地</w:t>
      </w:r>
      <w:r>
        <w:tab/>
      </w:r>
      <w:r>
        <w:fldChar w:fldCharType="begin"/>
      </w:r>
      <w:r>
        <w:instrText xml:space="preserve"> PAGEREF _Toc29586 \h </w:instrText>
      </w:r>
      <w:r>
        <w:fldChar w:fldCharType="separate"/>
      </w:r>
      <w:r>
        <w:t>33</w:t>
      </w:r>
      <w:r>
        <w:fldChar w:fldCharType="end"/>
      </w:r>
      <w:r>
        <w:fldChar w:fldCharType="end"/>
      </w:r>
    </w:p>
    <w:p w14:paraId="602BC79A">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_Toc16094 </w:instrText>
      </w:r>
      <w:r>
        <w:fldChar w:fldCharType="separate"/>
      </w:r>
      <w:r>
        <w:rPr>
          <w:rFonts w:hint="eastAsia" w:asciiTheme="minorEastAsia" w:hAnsiTheme="minorEastAsia" w:eastAsiaTheme="minorEastAsia" w:cstheme="minorEastAsia"/>
          <w:szCs w:val="28"/>
        </w:rPr>
        <w:t>8.6保护区</w:t>
      </w:r>
      <w:r>
        <w:tab/>
      </w:r>
      <w:r>
        <w:fldChar w:fldCharType="begin"/>
      </w:r>
      <w:r>
        <w:instrText xml:space="preserve"> PAGEREF _Toc16094 \h </w:instrText>
      </w:r>
      <w:r>
        <w:fldChar w:fldCharType="separate"/>
      </w:r>
      <w:r>
        <w:t>33</w:t>
      </w:r>
      <w:r>
        <w:fldChar w:fldCharType="end"/>
      </w:r>
      <w:r>
        <w:fldChar w:fldCharType="end"/>
      </w:r>
    </w:p>
    <w:p w14:paraId="442BDAEF">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_Toc6556 </w:instrText>
      </w:r>
      <w:r>
        <w:fldChar w:fldCharType="separate"/>
      </w:r>
      <w:r>
        <w:rPr>
          <w:rFonts w:hint="eastAsia" w:asciiTheme="minorEastAsia" w:hAnsiTheme="minorEastAsia" w:eastAsiaTheme="minorEastAsia" w:cstheme="minorEastAsia"/>
          <w:szCs w:val="24"/>
        </w:rPr>
        <w:t>8.7矿山修复</w:t>
      </w:r>
      <w:r>
        <w:tab/>
      </w:r>
      <w:r>
        <w:fldChar w:fldCharType="begin"/>
      </w:r>
      <w:r>
        <w:instrText xml:space="preserve"> PAGEREF _Toc6556 \h </w:instrText>
      </w:r>
      <w:r>
        <w:fldChar w:fldCharType="separate"/>
      </w:r>
      <w:r>
        <w:t>34</w:t>
      </w:r>
      <w:r>
        <w:fldChar w:fldCharType="end"/>
      </w:r>
      <w:r>
        <w:fldChar w:fldCharType="end"/>
      </w:r>
    </w:p>
    <w:p w14:paraId="73774D64">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_Toc22319 </w:instrText>
      </w:r>
      <w:r>
        <w:fldChar w:fldCharType="separate"/>
      </w:r>
      <w:r>
        <w:rPr>
          <w:rFonts w:hint="eastAsia" w:ascii="微软雅黑" w:hAnsi="微软雅黑" w:eastAsia="微软雅黑" w:cs="微软雅黑"/>
          <w:szCs w:val="30"/>
        </w:rPr>
        <w:t>9人权</w:t>
      </w:r>
      <w:r>
        <w:tab/>
      </w:r>
      <w:r>
        <w:fldChar w:fldCharType="begin"/>
      </w:r>
      <w:r>
        <w:instrText xml:space="preserve"> PAGEREF _Toc22319 \h </w:instrText>
      </w:r>
      <w:r>
        <w:fldChar w:fldCharType="separate"/>
      </w:r>
      <w:r>
        <w:t>35</w:t>
      </w:r>
      <w:r>
        <w:fldChar w:fldCharType="end"/>
      </w:r>
      <w:r>
        <w:fldChar w:fldCharType="end"/>
      </w:r>
    </w:p>
    <w:p w14:paraId="5A3545F3">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_Toc1571 </w:instrText>
      </w:r>
      <w:r>
        <w:fldChar w:fldCharType="separate"/>
      </w:r>
      <w:r>
        <w:rPr>
          <w:rFonts w:hint="eastAsia" w:asciiTheme="minorEastAsia" w:hAnsiTheme="minorEastAsia" w:eastAsiaTheme="minorEastAsia" w:cstheme="minorEastAsia"/>
          <w:szCs w:val="24"/>
        </w:rPr>
        <w:t>9.1 人权尽职调查</w:t>
      </w:r>
      <w:r>
        <w:tab/>
      </w:r>
      <w:r>
        <w:fldChar w:fldCharType="begin"/>
      </w:r>
      <w:r>
        <w:instrText xml:space="preserve"> PAGEREF _Toc1571 \h </w:instrText>
      </w:r>
      <w:r>
        <w:fldChar w:fldCharType="separate"/>
      </w:r>
      <w:r>
        <w:t>35</w:t>
      </w:r>
      <w:r>
        <w:fldChar w:fldCharType="end"/>
      </w:r>
      <w:r>
        <w:fldChar w:fldCharType="end"/>
      </w:r>
    </w:p>
    <w:p w14:paraId="4FB1BF2B">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_Toc2485 </w:instrText>
      </w:r>
      <w:r>
        <w:fldChar w:fldCharType="separate"/>
      </w:r>
      <w:r>
        <w:rPr>
          <w:rFonts w:hint="eastAsia" w:asciiTheme="minorEastAsia" w:hAnsiTheme="minorEastAsia" w:eastAsiaTheme="minorEastAsia" w:cstheme="minorEastAsia"/>
          <w:szCs w:val="24"/>
        </w:rPr>
        <w:t>9.2 性别平等和妇女权利</w:t>
      </w:r>
      <w:r>
        <w:tab/>
      </w:r>
      <w:r>
        <w:fldChar w:fldCharType="begin"/>
      </w:r>
      <w:r>
        <w:instrText xml:space="preserve"> PAGEREF _Toc2485 \h </w:instrText>
      </w:r>
      <w:r>
        <w:fldChar w:fldCharType="separate"/>
      </w:r>
      <w:r>
        <w:t>35</w:t>
      </w:r>
      <w:r>
        <w:fldChar w:fldCharType="end"/>
      </w:r>
      <w:r>
        <w:fldChar w:fldCharType="end"/>
      </w:r>
    </w:p>
    <w:p w14:paraId="0F038FDF">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_Toc2080 </w:instrText>
      </w:r>
      <w:r>
        <w:fldChar w:fldCharType="separate"/>
      </w:r>
      <w:r>
        <w:rPr>
          <w:rFonts w:hint="eastAsia" w:asciiTheme="minorEastAsia" w:hAnsiTheme="minorEastAsia" w:eastAsiaTheme="minorEastAsia" w:cstheme="minorEastAsia"/>
          <w:szCs w:val="24"/>
        </w:rPr>
        <w:t>9.3 原住民</w:t>
      </w:r>
      <w:r>
        <w:tab/>
      </w:r>
      <w:r>
        <w:fldChar w:fldCharType="begin"/>
      </w:r>
      <w:r>
        <w:instrText xml:space="preserve"> PAGEREF _Toc2080 \h </w:instrText>
      </w:r>
      <w:r>
        <w:fldChar w:fldCharType="separate"/>
      </w:r>
      <w:r>
        <w:t>36</w:t>
      </w:r>
      <w:r>
        <w:fldChar w:fldCharType="end"/>
      </w:r>
      <w:r>
        <w:fldChar w:fldCharType="end"/>
      </w:r>
    </w:p>
    <w:p w14:paraId="312E9FB5">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_Toc16329 </w:instrText>
      </w:r>
      <w:r>
        <w:fldChar w:fldCharType="separate"/>
      </w:r>
      <w:r>
        <w:rPr>
          <w:rFonts w:hint="eastAsia" w:asciiTheme="minorEastAsia" w:hAnsiTheme="minorEastAsia" w:eastAsiaTheme="minorEastAsia" w:cstheme="minorEastAsia"/>
          <w:szCs w:val="24"/>
        </w:rPr>
        <w:t>9.4 自主、事先和知情同意（FPIC）</w:t>
      </w:r>
      <w:r>
        <w:tab/>
      </w:r>
      <w:r>
        <w:fldChar w:fldCharType="begin"/>
      </w:r>
      <w:r>
        <w:instrText xml:space="preserve"> PAGEREF _Toc16329 \h </w:instrText>
      </w:r>
      <w:r>
        <w:fldChar w:fldCharType="separate"/>
      </w:r>
      <w:r>
        <w:t>36</w:t>
      </w:r>
      <w:r>
        <w:fldChar w:fldCharType="end"/>
      </w:r>
      <w:r>
        <w:fldChar w:fldCharType="end"/>
      </w:r>
    </w:p>
    <w:p w14:paraId="0EA5E019">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_Toc13713 </w:instrText>
      </w:r>
      <w:r>
        <w:fldChar w:fldCharType="separate"/>
      </w:r>
      <w:r>
        <w:rPr>
          <w:rFonts w:hint="eastAsia" w:asciiTheme="minorEastAsia" w:hAnsiTheme="minorEastAsia" w:eastAsiaTheme="minorEastAsia" w:cstheme="minorEastAsia"/>
          <w:szCs w:val="24"/>
        </w:rPr>
        <w:t>9.5 文化遗产和宗教圣地</w:t>
      </w:r>
      <w:r>
        <w:tab/>
      </w:r>
      <w:r>
        <w:fldChar w:fldCharType="begin"/>
      </w:r>
      <w:r>
        <w:instrText xml:space="preserve"> PAGEREF _Toc13713 \h </w:instrText>
      </w:r>
      <w:r>
        <w:fldChar w:fldCharType="separate"/>
      </w:r>
      <w:r>
        <w:t>36</w:t>
      </w:r>
      <w:r>
        <w:fldChar w:fldCharType="end"/>
      </w:r>
      <w:r>
        <w:fldChar w:fldCharType="end"/>
      </w:r>
    </w:p>
    <w:p w14:paraId="77A52DE1">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_Toc28317 </w:instrText>
      </w:r>
      <w:r>
        <w:fldChar w:fldCharType="separate"/>
      </w:r>
      <w:r>
        <w:rPr>
          <w:rFonts w:hint="eastAsia" w:asciiTheme="minorEastAsia" w:hAnsiTheme="minorEastAsia" w:eastAsiaTheme="minorEastAsia" w:cstheme="minorEastAsia"/>
          <w:szCs w:val="24"/>
        </w:rPr>
        <w:t>9.6迁移</w:t>
      </w:r>
      <w:r>
        <w:tab/>
      </w:r>
      <w:r>
        <w:fldChar w:fldCharType="begin"/>
      </w:r>
      <w:r>
        <w:instrText xml:space="preserve"> PAGEREF _Toc28317 \h </w:instrText>
      </w:r>
      <w:r>
        <w:fldChar w:fldCharType="separate"/>
      </w:r>
      <w:r>
        <w:t>36</w:t>
      </w:r>
      <w:r>
        <w:fldChar w:fldCharType="end"/>
      </w:r>
      <w:r>
        <w:fldChar w:fldCharType="end"/>
      </w:r>
    </w:p>
    <w:p w14:paraId="269A8A21">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_Toc25151 </w:instrText>
      </w:r>
      <w:r>
        <w:fldChar w:fldCharType="separate"/>
      </w:r>
      <w:r>
        <w:rPr>
          <w:rFonts w:hint="eastAsia" w:asciiTheme="minorEastAsia" w:hAnsiTheme="minorEastAsia" w:eastAsiaTheme="minorEastAsia" w:cstheme="minorEastAsia"/>
          <w:szCs w:val="24"/>
        </w:rPr>
        <w:t>9.7受影响人群和组织</w:t>
      </w:r>
      <w:r>
        <w:tab/>
      </w:r>
      <w:r>
        <w:fldChar w:fldCharType="begin"/>
      </w:r>
      <w:r>
        <w:instrText xml:space="preserve"> PAGEREF _Toc25151 \h </w:instrText>
      </w:r>
      <w:r>
        <w:fldChar w:fldCharType="separate"/>
      </w:r>
      <w:r>
        <w:t>37</w:t>
      </w:r>
      <w:r>
        <w:fldChar w:fldCharType="end"/>
      </w:r>
      <w:r>
        <w:fldChar w:fldCharType="end"/>
      </w:r>
    </w:p>
    <w:p w14:paraId="755288D2">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_Toc29624 </w:instrText>
      </w:r>
      <w:r>
        <w:fldChar w:fldCharType="separate"/>
      </w:r>
      <w:r>
        <w:rPr>
          <w:rFonts w:hint="eastAsia" w:asciiTheme="minorEastAsia" w:hAnsiTheme="minorEastAsia" w:eastAsiaTheme="minorEastAsia" w:cstheme="minorEastAsia"/>
          <w:szCs w:val="24"/>
        </w:rPr>
        <w:t>9.8 受冲突影响和高风险地区</w:t>
      </w:r>
      <w:r>
        <w:tab/>
      </w:r>
      <w:r>
        <w:fldChar w:fldCharType="begin"/>
      </w:r>
      <w:r>
        <w:instrText xml:space="preserve"> PAGEREF _Toc29624 \h </w:instrText>
      </w:r>
      <w:r>
        <w:fldChar w:fldCharType="separate"/>
      </w:r>
      <w:r>
        <w:t>38</w:t>
      </w:r>
      <w:r>
        <w:fldChar w:fldCharType="end"/>
      </w:r>
      <w:r>
        <w:fldChar w:fldCharType="end"/>
      </w:r>
    </w:p>
    <w:p w14:paraId="5F75A03E">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_Toc13807 </w:instrText>
      </w:r>
      <w:r>
        <w:fldChar w:fldCharType="separate"/>
      </w:r>
      <w:r>
        <w:rPr>
          <w:rFonts w:hint="eastAsia" w:asciiTheme="minorEastAsia" w:hAnsiTheme="minorEastAsia" w:eastAsiaTheme="minorEastAsia" w:cstheme="minorEastAsia"/>
          <w:szCs w:val="24"/>
        </w:rPr>
        <w:t>9.9 安保实践</w:t>
      </w:r>
      <w:r>
        <w:tab/>
      </w:r>
      <w:r>
        <w:fldChar w:fldCharType="begin"/>
      </w:r>
      <w:r>
        <w:instrText xml:space="preserve"> PAGEREF _Toc13807 \h </w:instrText>
      </w:r>
      <w:r>
        <w:fldChar w:fldCharType="separate"/>
      </w:r>
      <w:r>
        <w:t>38</w:t>
      </w:r>
      <w:r>
        <w:fldChar w:fldCharType="end"/>
      </w:r>
      <w:r>
        <w:fldChar w:fldCharType="end"/>
      </w:r>
    </w:p>
    <w:p w14:paraId="2F7070E7">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rPr>
          <w:rFonts w:hint="eastAsia" w:eastAsia="宋体"/>
          <w:lang w:val="en-US" w:eastAsia="zh-CN"/>
        </w:rPr>
      </w:pPr>
      <w:r>
        <w:rPr>
          <w:rFonts w:hint="eastAsia" w:ascii="微软雅黑" w:hAnsi="微软雅黑" w:eastAsia="微软雅黑" w:cs="微软雅黑"/>
          <w:szCs w:val="30"/>
          <w:lang w:val="en-US" w:eastAsia="zh-CN"/>
        </w:rPr>
        <w:t>10 劳工权益</w:t>
      </w:r>
      <w:r>
        <w:fldChar w:fldCharType="begin"/>
      </w:r>
      <w:r>
        <w:instrText xml:space="preserve"> HYPERLINK \l _Toc22319 </w:instrText>
      </w:r>
      <w:r>
        <w:fldChar w:fldCharType="separate"/>
      </w:r>
      <w:r>
        <w:tab/>
      </w:r>
      <w:r>
        <w:rPr>
          <w:rFonts w:hint="eastAsia"/>
          <w:lang w:val="en-US" w:eastAsia="zh-CN"/>
        </w:rPr>
        <w:t>3</w:t>
      </w:r>
      <w:r>
        <w:fldChar w:fldCharType="end"/>
      </w:r>
      <w:r>
        <w:rPr>
          <w:rFonts w:hint="eastAsia"/>
          <w:lang w:val="en-US" w:eastAsia="zh-CN"/>
        </w:rPr>
        <w:t>7</w:t>
      </w:r>
    </w:p>
    <w:p w14:paraId="2FCA649A">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_Toc25320 </w:instrText>
      </w:r>
      <w:r>
        <w:fldChar w:fldCharType="separate"/>
      </w:r>
      <w:r>
        <w:rPr>
          <w:rFonts w:hint="eastAsia" w:asciiTheme="minorEastAsia" w:hAnsiTheme="minorEastAsia" w:eastAsiaTheme="minorEastAsia" w:cstheme="minorEastAsia"/>
          <w:szCs w:val="24"/>
        </w:rPr>
        <w:t>10.1 结社自由与集体谈判权</w:t>
      </w:r>
      <w:r>
        <w:tab/>
      </w:r>
      <w:r>
        <w:fldChar w:fldCharType="begin"/>
      </w:r>
      <w:r>
        <w:instrText xml:space="preserve"> PAGEREF _Toc25320 \h </w:instrText>
      </w:r>
      <w:r>
        <w:fldChar w:fldCharType="separate"/>
      </w:r>
      <w:r>
        <w:t>39</w:t>
      </w:r>
      <w:r>
        <w:fldChar w:fldCharType="end"/>
      </w:r>
      <w:r>
        <w:fldChar w:fldCharType="end"/>
      </w:r>
    </w:p>
    <w:p w14:paraId="727618D2">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_Toc17293 </w:instrText>
      </w:r>
      <w:r>
        <w:fldChar w:fldCharType="separate"/>
      </w:r>
      <w:r>
        <w:rPr>
          <w:rFonts w:hint="eastAsia" w:asciiTheme="minorEastAsia" w:hAnsiTheme="minorEastAsia" w:eastAsiaTheme="minorEastAsia" w:cstheme="minorEastAsia"/>
          <w:szCs w:val="24"/>
        </w:rPr>
        <w:t>10.2  童工</w:t>
      </w:r>
      <w:r>
        <w:tab/>
      </w:r>
      <w:r>
        <w:fldChar w:fldCharType="begin"/>
      </w:r>
      <w:r>
        <w:instrText xml:space="preserve"> PAGEREF _Toc17293 \h </w:instrText>
      </w:r>
      <w:r>
        <w:fldChar w:fldCharType="separate"/>
      </w:r>
      <w:r>
        <w:t>39</w:t>
      </w:r>
      <w:r>
        <w:fldChar w:fldCharType="end"/>
      </w:r>
      <w:r>
        <w:fldChar w:fldCharType="end"/>
      </w:r>
    </w:p>
    <w:p w14:paraId="5F6C3614">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_Toc19365 </w:instrText>
      </w:r>
      <w:r>
        <w:fldChar w:fldCharType="separate"/>
      </w:r>
      <w:r>
        <w:rPr>
          <w:rFonts w:hint="eastAsia" w:asciiTheme="majorEastAsia" w:hAnsiTheme="majorEastAsia" w:eastAsiaTheme="majorEastAsia" w:cstheme="majorEastAsia"/>
          <w:szCs w:val="24"/>
        </w:rPr>
        <w:t>10.3 强迫劳动</w:t>
      </w:r>
      <w:r>
        <w:tab/>
      </w:r>
      <w:r>
        <w:fldChar w:fldCharType="begin"/>
      </w:r>
      <w:r>
        <w:instrText xml:space="preserve"> PAGEREF _Toc19365 \h </w:instrText>
      </w:r>
      <w:r>
        <w:fldChar w:fldCharType="separate"/>
      </w:r>
      <w:r>
        <w:t>39</w:t>
      </w:r>
      <w:r>
        <w:fldChar w:fldCharType="end"/>
      </w:r>
      <w:r>
        <w:fldChar w:fldCharType="end"/>
      </w:r>
    </w:p>
    <w:p w14:paraId="22FE375A">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_Toc28557 </w:instrText>
      </w:r>
      <w:r>
        <w:fldChar w:fldCharType="separate"/>
      </w:r>
      <w:r>
        <w:rPr>
          <w:rFonts w:hint="eastAsia" w:asciiTheme="minorEastAsia" w:hAnsiTheme="minorEastAsia" w:eastAsiaTheme="minorEastAsia" w:cstheme="minorEastAsia"/>
          <w:szCs w:val="24"/>
        </w:rPr>
        <w:t>10.4 非歧视</w:t>
      </w:r>
      <w:r>
        <w:tab/>
      </w:r>
      <w:r>
        <w:fldChar w:fldCharType="begin"/>
      </w:r>
      <w:r>
        <w:instrText xml:space="preserve"> PAGEREF _Toc28557 \h </w:instrText>
      </w:r>
      <w:r>
        <w:fldChar w:fldCharType="separate"/>
      </w:r>
      <w:r>
        <w:t>40</w:t>
      </w:r>
      <w:r>
        <w:fldChar w:fldCharType="end"/>
      </w:r>
      <w:r>
        <w:fldChar w:fldCharType="end"/>
      </w:r>
    </w:p>
    <w:p w14:paraId="6DAA30A7">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_Toc10895 </w:instrText>
      </w:r>
      <w:r>
        <w:fldChar w:fldCharType="separate"/>
      </w:r>
      <w:r>
        <w:rPr>
          <w:rFonts w:hint="eastAsia" w:asciiTheme="minorEastAsia" w:hAnsiTheme="minorEastAsia" w:eastAsiaTheme="minorEastAsia" w:cstheme="minorEastAsia"/>
          <w:szCs w:val="24"/>
        </w:rPr>
        <w:t>10.5 沟通与参与</w:t>
      </w:r>
      <w:r>
        <w:tab/>
      </w:r>
      <w:r>
        <w:fldChar w:fldCharType="begin"/>
      </w:r>
      <w:r>
        <w:instrText xml:space="preserve"> PAGEREF _Toc10895 \h </w:instrText>
      </w:r>
      <w:r>
        <w:fldChar w:fldCharType="separate"/>
      </w:r>
      <w:r>
        <w:t>40</w:t>
      </w:r>
      <w:r>
        <w:fldChar w:fldCharType="end"/>
      </w:r>
      <w:r>
        <w:fldChar w:fldCharType="end"/>
      </w:r>
    </w:p>
    <w:p w14:paraId="1A5273C9">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_Toc3575 </w:instrText>
      </w:r>
      <w:r>
        <w:fldChar w:fldCharType="separate"/>
      </w:r>
      <w:r>
        <w:rPr>
          <w:rFonts w:hint="eastAsia" w:asciiTheme="minorEastAsia" w:hAnsiTheme="minorEastAsia" w:eastAsiaTheme="minorEastAsia" w:cstheme="minorEastAsia"/>
          <w:szCs w:val="24"/>
        </w:rPr>
        <w:t>10.6暴力和骚扰</w:t>
      </w:r>
      <w:r>
        <w:tab/>
      </w:r>
      <w:r>
        <w:fldChar w:fldCharType="begin"/>
      </w:r>
      <w:r>
        <w:instrText xml:space="preserve"> PAGEREF _Toc3575 \h </w:instrText>
      </w:r>
      <w:r>
        <w:fldChar w:fldCharType="separate"/>
      </w:r>
      <w:r>
        <w:t>41</w:t>
      </w:r>
      <w:r>
        <w:fldChar w:fldCharType="end"/>
      </w:r>
      <w:r>
        <w:fldChar w:fldCharType="end"/>
      </w:r>
    </w:p>
    <w:p w14:paraId="515CE525">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_Toc10148 </w:instrText>
      </w:r>
      <w:r>
        <w:fldChar w:fldCharType="separate"/>
      </w:r>
      <w:r>
        <w:rPr>
          <w:rFonts w:hint="eastAsia" w:asciiTheme="minorEastAsia" w:hAnsiTheme="minorEastAsia" w:eastAsiaTheme="minorEastAsia" w:cstheme="minorEastAsia"/>
          <w:szCs w:val="24"/>
        </w:rPr>
        <w:t>10.7报酬</w:t>
      </w:r>
      <w:r>
        <w:tab/>
      </w:r>
      <w:r>
        <w:fldChar w:fldCharType="begin"/>
      </w:r>
      <w:r>
        <w:instrText xml:space="preserve"> PAGEREF _Toc10148 \h </w:instrText>
      </w:r>
      <w:r>
        <w:fldChar w:fldCharType="separate"/>
      </w:r>
      <w:r>
        <w:t>41</w:t>
      </w:r>
      <w:r>
        <w:fldChar w:fldCharType="end"/>
      </w:r>
      <w:r>
        <w:fldChar w:fldCharType="end"/>
      </w:r>
    </w:p>
    <w:p w14:paraId="0CF7B66D">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_Toc19295 </w:instrText>
      </w:r>
      <w:r>
        <w:fldChar w:fldCharType="separate"/>
      </w:r>
      <w:r>
        <w:rPr>
          <w:rFonts w:hint="eastAsia" w:asciiTheme="minorEastAsia" w:hAnsiTheme="minorEastAsia" w:eastAsiaTheme="minorEastAsia" w:cstheme="minorEastAsia"/>
          <w:szCs w:val="24"/>
        </w:rPr>
        <w:t>10.8 劳动时间</w:t>
      </w:r>
      <w:r>
        <w:tab/>
      </w:r>
      <w:r>
        <w:fldChar w:fldCharType="begin"/>
      </w:r>
      <w:r>
        <w:instrText xml:space="preserve"> PAGEREF _Toc19295 \h </w:instrText>
      </w:r>
      <w:r>
        <w:fldChar w:fldCharType="separate"/>
      </w:r>
      <w:r>
        <w:t>42</w:t>
      </w:r>
      <w:r>
        <w:fldChar w:fldCharType="end"/>
      </w:r>
      <w:r>
        <w:fldChar w:fldCharType="end"/>
      </w:r>
    </w:p>
    <w:p w14:paraId="18DC74E1">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_Toc6296 </w:instrText>
      </w:r>
      <w:r>
        <w:fldChar w:fldCharType="separate"/>
      </w:r>
      <w:r>
        <w:rPr>
          <w:rFonts w:hint="eastAsia" w:asciiTheme="minorEastAsia" w:hAnsiTheme="minorEastAsia" w:eastAsiaTheme="minorEastAsia" w:cstheme="minorEastAsia"/>
          <w:szCs w:val="24"/>
        </w:rPr>
        <w:t>10.9员工权利告知</w:t>
      </w:r>
      <w:r>
        <w:tab/>
      </w:r>
      <w:r>
        <w:fldChar w:fldCharType="begin"/>
      </w:r>
      <w:r>
        <w:instrText xml:space="preserve"> PAGEREF _Toc6296 \h </w:instrText>
      </w:r>
      <w:r>
        <w:fldChar w:fldCharType="separate"/>
      </w:r>
      <w:r>
        <w:t>42</w:t>
      </w:r>
      <w:r>
        <w:fldChar w:fldCharType="end"/>
      </w:r>
      <w:r>
        <w:fldChar w:fldCharType="end"/>
      </w:r>
    </w:p>
    <w:p w14:paraId="2A494055">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rPr>
          <w:rFonts w:hint="eastAsia" w:eastAsia="宋体"/>
          <w:lang w:val="en-US" w:eastAsia="zh-CN"/>
        </w:rPr>
      </w:pPr>
      <w:r>
        <w:fldChar w:fldCharType="begin"/>
      </w:r>
      <w:r>
        <w:instrText xml:space="preserve"> HYPERLINK \l _Toc22523 </w:instrText>
      </w:r>
      <w:r>
        <w:fldChar w:fldCharType="separate"/>
      </w:r>
      <w:r>
        <w:rPr>
          <w:rFonts w:hint="eastAsia" w:ascii="微软雅黑" w:hAnsi="微软雅黑" w:eastAsia="微软雅黑" w:cs="微软雅黑"/>
          <w:szCs w:val="30"/>
        </w:rPr>
        <w:t>1</w:t>
      </w:r>
      <w:r>
        <w:rPr>
          <w:rFonts w:hint="eastAsia" w:ascii="微软雅黑" w:hAnsi="微软雅黑" w:eastAsia="微软雅黑" w:cs="微软雅黑"/>
          <w:szCs w:val="30"/>
          <w:lang w:val="en-US" w:eastAsia="zh-CN"/>
        </w:rPr>
        <w:t>1 职业健康与安全</w:t>
      </w:r>
      <w:r>
        <w:tab/>
      </w:r>
      <w:r>
        <w:rPr>
          <w:rFonts w:hint="eastAsia"/>
          <w:lang w:val="en-US" w:eastAsia="zh-CN"/>
        </w:rPr>
        <w:t>4</w:t>
      </w:r>
      <w:r>
        <w:fldChar w:fldCharType="end"/>
      </w:r>
      <w:r>
        <w:rPr>
          <w:rFonts w:hint="eastAsia"/>
          <w:lang w:val="en-US" w:eastAsia="zh-CN"/>
        </w:rPr>
        <w:t>1</w:t>
      </w:r>
    </w:p>
    <w:p w14:paraId="791982E4">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_Toc10151 </w:instrText>
      </w:r>
      <w:r>
        <w:fldChar w:fldCharType="separate"/>
      </w:r>
      <w:r>
        <w:rPr>
          <w:rFonts w:hint="eastAsia" w:asciiTheme="minorEastAsia" w:hAnsiTheme="minorEastAsia" w:eastAsiaTheme="minorEastAsia" w:cstheme="minorEastAsia"/>
          <w:szCs w:val="24"/>
        </w:rPr>
        <w:t>11.1职业健康与安全管理体系（OH&amp;S）</w:t>
      </w:r>
      <w:r>
        <w:tab/>
      </w:r>
      <w:r>
        <w:fldChar w:fldCharType="begin"/>
      </w:r>
      <w:r>
        <w:instrText xml:space="preserve"> PAGEREF _Toc10151 \h </w:instrText>
      </w:r>
      <w:r>
        <w:fldChar w:fldCharType="separate"/>
      </w:r>
      <w:r>
        <w:t>43</w:t>
      </w:r>
      <w:r>
        <w:fldChar w:fldCharType="end"/>
      </w:r>
      <w:r>
        <w:fldChar w:fldCharType="end"/>
      </w:r>
    </w:p>
    <w:p w14:paraId="7FFBBC5C">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_Toc13678 </w:instrText>
      </w:r>
      <w:r>
        <w:fldChar w:fldCharType="separate"/>
      </w:r>
      <w:r>
        <w:rPr>
          <w:rFonts w:hint="eastAsia" w:asciiTheme="majorEastAsia" w:hAnsiTheme="majorEastAsia" w:eastAsiaTheme="majorEastAsia" w:cstheme="majorEastAsia"/>
          <w:szCs w:val="24"/>
        </w:rPr>
        <w:t>11.2 员工参与健康与安全</w:t>
      </w:r>
      <w:r>
        <w:tab/>
      </w:r>
      <w:r>
        <w:fldChar w:fldCharType="begin"/>
      </w:r>
      <w:r>
        <w:instrText xml:space="preserve"> PAGEREF _Toc13678 \h </w:instrText>
      </w:r>
      <w:r>
        <w:fldChar w:fldCharType="separate"/>
      </w:r>
      <w:r>
        <w:t>43</w:t>
      </w:r>
      <w:r>
        <w:fldChar w:fldCharType="end"/>
      </w:r>
      <w:r>
        <w:fldChar w:fldCharType="end"/>
      </w:r>
    </w:p>
    <w:p w14:paraId="269AA455">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_Toc22523 </w:instrText>
      </w:r>
      <w:r>
        <w:fldChar w:fldCharType="separate"/>
      </w:r>
      <w:r>
        <w:rPr>
          <w:rFonts w:hint="eastAsia" w:ascii="微软雅黑" w:hAnsi="微软雅黑" w:eastAsia="微软雅黑" w:cs="微软雅黑"/>
          <w:szCs w:val="30"/>
        </w:rPr>
        <w:t>1</w:t>
      </w:r>
      <w:r>
        <w:rPr>
          <w:rFonts w:hint="eastAsia" w:ascii="微软雅黑" w:hAnsi="微软雅黑" w:eastAsia="微软雅黑" w:cs="微软雅黑"/>
          <w:szCs w:val="30"/>
          <w:lang w:val="en-US" w:eastAsia="zh-CN"/>
        </w:rPr>
        <w:t>2</w:t>
      </w:r>
      <w:r>
        <w:rPr>
          <w:rFonts w:hint="eastAsia" w:ascii="微软雅黑" w:hAnsi="微软雅黑" w:eastAsia="微软雅黑" w:cs="微软雅黑"/>
          <w:szCs w:val="30"/>
        </w:rPr>
        <w:t xml:space="preserve"> 管理系统</w:t>
      </w:r>
      <w:r>
        <w:tab/>
      </w:r>
      <w:r>
        <w:fldChar w:fldCharType="begin"/>
      </w:r>
      <w:r>
        <w:instrText xml:space="preserve"> PAGEREF _Toc22523 \h </w:instrText>
      </w:r>
      <w:r>
        <w:fldChar w:fldCharType="separate"/>
      </w:r>
      <w:r>
        <w:t>44</w:t>
      </w:r>
      <w:r>
        <w:fldChar w:fldCharType="end"/>
      </w:r>
      <w:r>
        <w:fldChar w:fldCharType="end"/>
      </w:r>
    </w:p>
    <w:p w14:paraId="0AB04E6C">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_Toc27911 </w:instrText>
      </w:r>
      <w:r>
        <w:fldChar w:fldCharType="separate"/>
      </w:r>
      <w:r>
        <w:rPr>
          <w:rFonts w:hint="eastAsia" w:asciiTheme="minorEastAsia" w:hAnsiTheme="minorEastAsia" w:eastAsiaTheme="minorEastAsia" w:cstheme="minorEastAsia"/>
          <w:szCs w:val="24"/>
          <w:lang w:eastAsia="zh-CN"/>
        </w:rPr>
        <w:t>12</w:t>
      </w:r>
      <w:r>
        <w:rPr>
          <w:rFonts w:hint="eastAsia" w:asciiTheme="minorEastAsia" w:hAnsiTheme="minorEastAsia" w:eastAsiaTheme="minorEastAsia" w:cstheme="minorEastAsia"/>
          <w:szCs w:val="24"/>
        </w:rPr>
        <w:t>.1计划与实施</w:t>
      </w:r>
      <w:r>
        <w:tab/>
      </w:r>
      <w:r>
        <w:fldChar w:fldCharType="begin"/>
      </w:r>
      <w:r>
        <w:instrText xml:space="preserve"> PAGEREF _Toc27911 \h </w:instrText>
      </w:r>
      <w:r>
        <w:fldChar w:fldCharType="separate"/>
      </w:r>
      <w:r>
        <w:t>44</w:t>
      </w:r>
      <w:r>
        <w:fldChar w:fldCharType="end"/>
      </w:r>
      <w:r>
        <w:fldChar w:fldCharType="end"/>
      </w:r>
    </w:p>
    <w:p w14:paraId="1AFC69DD">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_Toc9980 </w:instrText>
      </w:r>
      <w:r>
        <w:fldChar w:fldCharType="separate"/>
      </w:r>
      <w:r>
        <w:rPr>
          <w:rFonts w:hint="eastAsia" w:asciiTheme="minorEastAsia" w:hAnsiTheme="minorEastAsia" w:eastAsiaTheme="minorEastAsia" w:cstheme="minorEastAsia"/>
          <w:szCs w:val="24"/>
          <w:lang w:eastAsia="zh-CN"/>
        </w:rPr>
        <w:t>12</w:t>
      </w:r>
      <w:r>
        <w:rPr>
          <w:rFonts w:hint="eastAsia" w:asciiTheme="minorEastAsia" w:hAnsiTheme="minorEastAsia" w:eastAsiaTheme="minorEastAsia" w:cstheme="minorEastAsia"/>
          <w:szCs w:val="24"/>
        </w:rPr>
        <w:t>.2处理疑虑和采取纠正行动</w:t>
      </w:r>
      <w:r>
        <w:tab/>
      </w:r>
      <w:r>
        <w:fldChar w:fldCharType="begin"/>
      </w:r>
      <w:r>
        <w:instrText xml:space="preserve"> PAGEREF _Toc9980 \h </w:instrText>
      </w:r>
      <w:r>
        <w:fldChar w:fldCharType="separate"/>
      </w:r>
      <w:r>
        <w:t>44</w:t>
      </w:r>
      <w:r>
        <w:fldChar w:fldCharType="end"/>
      </w:r>
      <w:r>
        <w:fldChar w:fldCharType="end"/>
      </w:r>
    </w:p>
    <w:p w14:paraId="160619E7">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_Toc64 </w:instrText>
      </w:r>
      <w:r>
        <w:fldChar w:fldCharType="separate"/>
      </w:r>
      <w:r>
        <w:rPr>
          <w:rFonts w:hint="eastAsia" w:asciiTheme="minorEastAsia" w:hAnsiTheme="minorEastAsia" w:eastAsiaTheme="minorEastAsia" w:cstheme="minorEastAsia"/>
          <w:szCs w:val="24"/>
          <w:lang w:eastAsia="zh-CN"/>
        </w:rPr>
        <w:t>12</w:t>
      </w:r>
      <w:r>
        <w:rPr>
          <w:rFonts w:hint="eastAsia" w:asciiTheme="minorEastAsia" w:hAnsiTheme="minorEastAsia" w:eastAsiaTheme="minorEastAsia" w:cstheme="minorEastAsia"/>
          <w:szCs w:val="24"/>
        </w:rPr>
        <w:t>.3 对外沟通</w:t>
      </w:r>
      <w:r>
        <w:tab/>
      </w:r>
      <w:r>
        <w:fldChar w:fldCharType="begin"/>
      </w:r>
      <w:r>
        <w:instrText xml:space="preserve"> PAGEREF _Toc64 \h </w:instrText>
      </w:r>
      <w:r>
        <w:fldChar w:fldCharType="separate"/>
      </w:r>
      <w:r>
        <w:t>44</w:t>
      </w:r>
      <w:r>
        <w:fldChar w:fldCharType="end"/>
      </w:r>
      <w:r>
        <w:fldChar w:fldCharType="end"/>
      </w:r>
    </w:p>
    <w:p w14:paraId="16ED7F33">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_Toc18364 </w:instrText>
      </w:r>
      <w:r>
        <w:fldChar w:fldCharType="separate"/>
      </w:r>
      <w:r>
        <w:rPr>
          <w:rFonts w:hint="eastAsia" w:asciiTheme="minorEastAsia" w:hAnsiTheme="minorEastAsia" w:eastAsiaTheme="minorEastAsia" w:cstheme="minorEastAsia"/>
          <w:szCs w:val="24"/>
          <w:lang w:eastAsia="zh-CN"/>
        </w:rPr>
        <w:t>12</w:t>
      </w:r>
      <w:r>
        <w:rPr>
          <w:rFonts w:hint="eastAsia" w:asciiTheme="minorEastAsia" w:hAnsiTheme="minorEastAsia" w:eastAsiaTheme="minorEastAsia" w:cstheme="minorEastAsia"/>
          <w:szCs w:val="24"/>
        </w:rPr>
        <w:t>.4核实渠道</w:t>
      </w:r>
      <w:r>
        <w:tab/>
      </w:r>
      <w:r>
        <w:fldChar w:fldCharType="begin"/>
      </w:r>
      <w:r>
        <w:instrText xml:space="preserve"> PAGEREF _Toc18364 \h </w:instrText>
      </w:r>
      <w:r>
        <w:fldChar w:fldCharType="separate"/>
      </w:r>
      <w:r>
        <w:t>45</w:t>
      </w:r>
      <w:r>
        <w:fldChar w:fldCharType="end"/>
      </w:r>
      <w:r>
        <w:fldChar w:fldCharType="end"/>
      </w:r>
    </w:p>
    <w:p w14:paraId="15E73CAB">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_Toc32095 </w:instrText>
      </w:r>
      <w:r>
        <w:fldChar w:fldCharType="separate"/>
      </w:r>
      <w:r>
        <w:rPr>
          <w:rFonts w:hint="eastAsia" w:asciiTheme="minorEastAsia" w:hAnsiTheme="minorEastAsia" w:eastAsiaTheme="minorEastAsia" w:cstheme="minorEastAsia"/>
          <w:szCs w:val="24"/>
          <w:lang w:eastAsia="zh-CN"/>
        </w:rPr>
        <w:t>12</w:t>
      </w:r>
      <w:r>
        <w:rPr>
          <w:rFonts w:hint="eastAsia" w:asciiTheme="minorEastAsia" w:hAnsiTheme="minorEastAsia" w:eastAsiaTheme="minorEastAsia" w:cstheme="minorEastAsia"/>
          <w:szCs w:val="24"/>
        </w:rPr>
        <w:t>.5内部审核</w:t>
      </w:r>
      <w:r>
        <w:tab/>
      </w:r>
      <w:r>
        <w:fldChar w:fldCharType="begin"/>
      </w:r>
      <w:r>
        <w:instrText xml:space="preserve"> PAGEREF _Toc32095 \h </w:instrText>
      </w:r>
      <w:r>
        <w:fldChar w:fldCharType="separate"/>
      </w:r>
      <w:r>
        <w:t>45</w:t>
      </w:r>
      <w:r>
        <w:fldChar w:fldCharType="end"/>
      </w:r>
      <w:r>
        <w:fldChar w:fldCharType="end"/>
      </w:r>
    </w:p>
    <w:p w14:paraId="2A947804">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_Toc17144 </w:instrText>
      </w:r>
      <w:r>
        <w:fldChar w:fldCharType="separate"/>
      </w:r>
      <w:r>
        <w:rPr>
          <w:rFonts w:hint="eastAsia" w:asciiTheme="minorEastAsia" w:hAnsiTheme="minorEastAsia" w:eastAsiaTheme="minorEastAsia" w:cstheme="minorEastAsia"/>
          <w:szCs w:val="24"/>
          <w:lang w:eastAsia="zh-CN"/>
        </w:rPr>
        <w:t>12</w:t>
      </w:r>
      <w:r>
        <w:rPr>
          <w:rFonts w:hint="eastAsia" w:asciiTheme="minorEastAsia" w:hAnsiTheme="minorEastAsia" w:eastAsiaTheme="minorEastAsia" w:cstheme="minorEastAsia"/>
          <w:szCs w:val="24"/>
        </w:rPr>
        <w:t>.6管理评审</w:t>
      </w:r>
      <w:r>
        <w:tab/>
      </w:r>
      <w:r>
        <w:fldChar w:fldCharType="begin"/>
      </w:r>
      <w:r>
        <w:instrText xml:space="preserve"> PAGEREF _Toc17144 \h </w:instrText>
      </w:r>
      <w:r>
        <w:fldChar w:fldCharType="separate"/>
      </w:r>
      <w:r>
        <w:t>46</w:t>
      </w:r>
      <w:r>
        <w:fldChar w:fldCharType="end"/>
      </w:r>
      <w:r>
        <w:fldChar w:fldCharType="end"/>
      </w:r>
    </w:p>
    <w:p w14:paraId="64A05394">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_Toc1536 </w:instrText>
      </w:r>
      <w:r>
        <w:fldChar w:fldCharType="separate"/>
      </w:r>
      <w:r>
        <w:rPr>
          <w:rFonts w:hint="eastAsia" w:asciiTheme="minorEastAsia" w:hAnsiTheme="minorEastAsia" w:eastAsiaTheme="minorEastAsia" w:cstheme="minorEastAsia"/>
          <w:szCs w:val="24"/>
          <w:lang w:eastAsia="zh-CN"/>
        </w:rPr>
        <w:t>12</w:t>
      </w:r>
      <w:r>
        <w:rPr>
          <w:rFonts w:hint="eastAsia" w:asciiTheme="minorEastAsia" w:hAnsiTheme="minorEastAsia" w:eastAsiaTheme="minorEastAsia" w:cstheme="minorEastAsia"/>
          <w:szCs w:val="24"/>
        </w:rPr>
        <w:t>.7 持续改进</w:t>
      </w:r>
      <w:r>
        <w:tab/>
      </w:r>
      <w:r>
        <w:fldChar w:fldCharType="begin"/>
      </w:r>
      <w:r>
        <w:instrText xml:space="preserve"> PAGEREF _Toc1536 \h </w:instrText>
      </w:r>
      <w:r>
        <w:fldChar w:fldCharType="separate"/>
      </w:r>
      <w:r>
        <w:t>47</w:t>
      </w:r>
      <w:r>
        <w:fldChar w:fldCharType="end"/>
      </w:r>
      <w:r>
        <w:fldChar w:fldCharType="end"/>
      </w:r>
    </w:p>
    <w:p w14:paraId="25C25B9C">
      <w:pPr>
        <w:pStyle w:val="97"/>
        <w:keepNext w:val="0"/>
        <w:keepLines w:val="0"/>
        <w:pageBreakBefore w:val="0"/>
        <w:widowControl/>
        <w:tabs>
          <w:tab w:val="right" w:leader="dot" w:pos="9071"/>
        </w:tabs>
        <w:kinsoku/>
        <w:wordWrap/>
        <w:overflowPunct/>
        <w:topLinePunct w:val="0"/>
        <w:autoSpaceDE/>
        <w:autoSpaceDN/>
        <w:bidi w:val="0"/>
        <w:adjustRightInd/>
        <w:snapToGrid/>
        <w:spacing w:line="360" w:lineRule="auto"/>
        <w:textAlignment w:val="auto"/>
      </w:pPr>
      <w:r>
        <w:fldChar w:fldCharType="begin"/>
      </w:r>
      <w:r>
        <w:instrText xml:space="preserve"> HYPERLINK \l _Toc5007 </w:instrText>
      </w:r>
      <w:r>
        <w:fldChar w:fldCharType="separate"/>
      </w:r>
      <w:r>
        <w:rPr>
          <w:rFonts w:hint="eastAsia" w:asciiTheme="minorEastAsia" w:hAnsiTheme="minorEastAsia" w:eastAsiaTheme="minorEastAsia" w:cstheme="minorEastAsia"/>
          <w:szCs w:val="24"/>
          <w:lang w:eastAsia="zh-CN"/>
        </w:rPr>
        <w:t>12</w:t>
      </w:r>
      <w:r>
        <w:rPr>
          <w:rFonts w:hint="eastAsia" w:asciiTheme="minorEastAsia" w:hAnsiTheme="minorEastAsia" w:eastAsiaTheme="minorEastAsia" w:cstheme="minorEastAsia"/>
          <w:szCs w:val="24"/>
        </w:rPr>
        <w:t>.8记录</w:t>
      </w:r>
      <w:r>
        <w:tab/>
      </w:r>
      <w:r>
        <w:fldChar w:fldCharType="begin"/>
      </w:r>
      <w:r>
        <w:instrText xml:space="preserve"> PAGEREF _Toc5007 \h </w:instrText>
      </w:r>
      <w:r>
        <w:fldChar w:fldCharType="separate"/>
      </w:r>
      <w:r>
        <w:t>48</w:t>
      </w:r>
      <w:r>
        <w:fldChar w:fldCharType="end"/>
      </w:r>
      <w:r>
        <w:fldChar w:fldCharType="end"/>
      </w:r>
    </w:p>
    <w:p w14:paraId="5FB11F12">
      <w:pPr>
        <w:keepNext w:val="0"/>
        <w:keepLines w:val="0"/>
        <w:pageBreakBefore w:val="0"/>
        <w:widowControl/>
        <w:kinsoku/>
        <w:wordWrap/>
        <w:overflowPunct/>
        <w:topLinePunct w:val="0"/>
        <w:autoSpaceDE/>
        <w:autoSpaceDN/>
        <w:bidi w:val="0"/>
        <w:adjustRightInd/>
        <w:snapToGrid/>
        <w:spacing w:line="360" w:lineRule="auto"/>
        <w:textAlignment w:val="auto"/>
      </w:pPr>
      <w:r>
        <w:fldChar w:fldCharType="end"/>
      </w:r>
    </w:p>
    <w:p w14:paraId="106A0C22"/>
    <w:p w14:paraId="67C68AC1">
      <w:pPr>
        <w:spacing w:line="360" w:lineRule="auto"/>
        <w:rPr>
          <w:rFonts w:eastAsiaTheme="minorEastAsia"/>
          <w:sz w:val="24"/>
        </w:rPr>
      </w:pPr>
      <w:r>
        <w:rPr>
          <w:rFonts w:eastAsiaTheme="minorEastAsia"/>
          <w:sz w:val="24"/>
        </w:rPr>
        <w:br w:type="page"/>
      </w:r>
    </w:p>
    <w:p w14:paraId="3365B609">
      <w:pPr>
        <w:pStyle w:val="25"/>
        <w:spacing w:before="0" w:after="0" w:line="360" w:lineRule="auto"/>
        <w:rPr>
          <w:rFonts w:eastAsiaTheme="minorEastAsia"/>
          <w:sz w:val="30"/>
          <w:szCs w:val="30"/>
        </w:rPr>
      </w:pPr>
      <w:bookmarkStart w:id="1" w:name="_Toc24136"/>
      <w:r>
        <w:rPr>
          <w:rFonts w:hint="eastAsia" w:ascii="微软雅黑" w:hAnsi="微软雅黑" w:eastAsia="微软雅黑" w:cs="微软雅黑"/>
          <w:sz w:val="30"/>
          <w:szCs w:val="30"/>
        </w:rPr>
        <w:t>0.1 ASI手册颁布令</w:t>
      </w:r>
      <w:bookmarkEnd w:id="1"/>
    </w:p>
    <w:p w14:paraId="439C3226">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eastAsiaTheme="minorEastAsia"/>
          <w:sz w:val="24"/>
        </w:rPr>
      </w:pPr>
      <w:r>
        <w:rPr>
          <w:rFonts w:eastAsiaTheme="minorEastAsia"/>
          <w:sz w:val="24"/>
        </w:rPr>
        <w:t>为了能更好的遵守ASI绩效标准的要求，推动从铝土矿、氧化铝到铝价值链，从矿山到下游铝产品用户都能够推进铝的生命周期中的材料管理，确保在铝的开采、生产、使用和回收中共同承担社会责任，促进所有利益相关方代表的参与，协作推动铝的负责任生产、负责任采购和企业治理，实现铝对可持续性社会贡献的最大化，本公司编制</w:t>
      </w:r>
      <w:r>
        <w:rPr>
          <w:rFonts w:hint="eastAsia" w:eastAsiaTheme="minorEastAsia"/>
          <w:sz w:val="24"/>
          <w:lang w:val="en-US" w:eastAsia="zh-CN"/>
        </w:rPr>
        <w:t>了</w:t>
      </w:r>
      <w:r>
        <w:rPr>
          <w:rFonts w:eastAsiaTheme="minorEastAsia"/>
          <w:sz w:val="24"/>
        </w:rPr>
        <w:t>《ASI管理手册》。</w:t>
      </w:r>
    </w:p>
    <w:p w14:paraId="5A3CB4BE">
      <w:pPr>
        <w:spacing w:line="360" w:lineRule="auto"/>
        <w:rPr>
          <w:rFonts w:eastAsiaTheme="minorEastAsia"/>
          <w:sz w:val="24"/>
        </w:rPr>
      </w:pPr>
      <w:r>
        <w:rPr>
          <w:rFonts w:eastAsiaTheme="minorEastAsia"/>
          <w:sz w:val="24"/>
        </w:rPr>
        <w:t>本手册</w:t>
      </w:r>
      <w:r>
        <w:rPr>
          <w:rFonts w:hint="eastAsia" w:eastAsiaTheme="minorEastAsia"/>
          <w:sz w:val="24"/>
          <w:lang w:val="en-US" w:eastAsia="zh-CN"/>
        </w:rPr>
        <w:t>编制</w:t>
      </w:r>
      <w:r>
        <w:rPr>
          <w:rFonts w:eastAsiaTheme="minorEastAsia"/>
          <w:sz w:val="24"/>
        </w:rPr>
        <w:t>依据：</w:t>
      </w:r>
    </w:p>
    <w:p w14:paraId="65EECE2A">
      <w:pPr>
        <w:spacing w:line="360" w:lineRule="auto"/>
        <w:ind w:left="0" w:leftChars="0" w:firstLine="0" w:firstLineChars="0"/>
        <w:rPr>
          <w:rFonts w:eastAsiaTheme="minorEastAsia"/>
          <w:sz w:val="24"/>
        </w:rPr>
      </w:pPr>
      <w:r>
        <w:rPr>
          <w:rFonts w:eastAsiaTheme="minorEastAsia"/>
          <w:sz w:val="24"/>
        </w:rPr>
        <w:t>ASI绩效标准（第2版–20</w:t>
      </w:r>
      <w:r>
        <w:rPr>
          <w:rFonts w:hint="eastAsia" w:eastAsiaTheme="minorEastAsia"/>
          <w:sz w:val="24"/>
          <w:lang w:eastAsia="zh-CN"/>
        </w:rPr>
        <w:t>12</w:t>
      </w:r>
      <w:r>
        <w:rPr>
          <w:rFonts w:eastAsiaTheme="minorEastAsia"/>
          <w:sz w:val="24"/>
        </w:rPr>
        <w:t>年12月）</w:t>
      </w:r>
    </w:p>
    <w:p w14:paraId="156805BD">
      <w:pPr>
        <w:spacing w:line="360" w:lineRule="auto"/>
        <w:ind w:left="0" w:leftChars="0" w:firstLine="0" w:firstLineChars="0"/>
        <w:rPr>
          <w:rFonts w:eastAsiaTheme="minorEastAsia"/>
          <w:sz w:val="24"/>
        </w:rPr>
      </w:pPr>
      <w:r>
        <w:rPr>
          <w:rFonts w:eastAsiaTheme="minorEastAsia"/>
          <w:sz w:val="24"/>
        </w:rPr>
        <w:t>ASI绩效标准V2—指南（20</w:t>
      </w:r>
      <w:r>
        <w:rPr>
          <w:rFonts w:hint="eastAsia" w:eastAsiaTheme="minorEastAsia"/>
          <w:sz w:val="24"/>
          <w:lang w:eastAsia="zh-CN"/>
        </w:rPr>
        <w:t>12</w:t>
      </w:r>
      <w:r>
        <w:rPr>
          <w:rFonts w:eastAsiaTheme="minorEastAsia"/>
          <w:sz w:val="24"/>
        </w:rPr>
        <w:t>年12月）</w:t>
      </w:r>
    </w:p>
    <w:p w14:paraId="735027E1">
      <w:pPr>
        <w:spacing w:line="360" w:lineRule="auto"/>
        <w:ind w:firstLine="480" w:firstLineChars="200"/>
        <w:rPr>
          <w:rFonts w:eastAsiaTheme="minorEastAsia"/>
          <w:sz w:val="24"/>
        </w:rPr>
      </w:pPr>
      <w:r>
        <w:rPr>
          <w:rFonts w:eastAsiaTheme="minorEastAsia"/>
          <w:sz w:val="24"/>
        </w:rPr>
        <w:t>本手册阐明了公司的环境、社会&amp;治理方针，识别ASI绩效涉及的主要工作内容和工作要求，包括：</w:t>
      </w:r>
    </w:p>
    <w:p w14:paraId="621D1B32">
      <w:pPr>
        <w:spacing w:line="360" w:lineRule="auto"/>
        <w:rPr>
          <w:rFonts w:eastAsiaTheme="minorEastAsia"/>
          <w:sz w:val="24"/>
        </w:rPr>
      </w:pPr>
      <w:r>
        <w:rPr>
          <w:rFonts w:eastAsiaTheme="minorEastAsia"/>
          <w:b/>
          <w:bCs/>
          <w:sz w:val="28"/>
          <w:szCs w:val="28"/>
        </w:rPr>
        <w:t xml:space="preserve">一、治理   </w:t>
      </w:r>
      <w:r>
        <w:rPr>
          <w:rFonts w:eastAsiaTheme="minorEastAsia"/>
          <w:sz w:val="24"/>
        </w:rPr>
        <w:t xml:space="preserve">     </w:t>
      </w:r>
    </w:p>
    <w:p w14:paraId="6516D381">
      <w:pPr>
        <w:spacing w:line="360" w:lineRule="auto"/>
        <w:rPr>
          <w:rFonts w:hint="eastAsia" w:ascii="宋体" w:hAnsi="宋体" w:eastAsia="宋体" w:cs="宋体"/>
          <w:sz w:val="24"/>
        </w:rPr>
      </w:pPr>
      <w:r>
        <w:rPr>
          <w:rFonts w:hint="eastAsia" w:ascii="宋体" w:hAnsi="宋体" w:eastAsia="宋体" w:cs="宋体"/>
          <w:sz w:val="24"/>
        </w:rPr>
        <w:t>1. 企业诚信</w:t>
      </w:r>
    </w:p>
    <w:p w14:paraId="37BCE3F1">
      <w:pPr>
        <w:spacing w:line="360" w:lineRule="auto"/>
        <w:rPr>
          <w:rFonts w:hint="eastAsia" w:ascii="宋体" w:hAnsi="宋体" w:eastAsia="宋体" w:cs="宋体"/>
          <w:sz w:val="24"/>
        </w:rPr>
      </w:pPr>
      <w:bookmarkStart w:id="2" w:name="_Toc53324043"/>
      <w:r>
        <w:rPr>
          <w:rFonts w:hint="eastAsia" w:ascii="宋体" w:hAnsi="宋体" w:eastAsia="宋体" w:cs="宋体"/>
          <w:sz w:val="24"/>
        </w:rPr>
        <w:t>2. 方针与管理</w:t>
      </w:r>
      <w:bookmarkEnd w:id="2"/>
    </w:p>
    <w:p w14:paraId="6481537D">
      <w:pPr>
        <w:spacing w:line="360" w:lineRule="auto"/>
        <w:rPr>
          <w:rFonts w:hint="eastAsia" w:ascii="宋体" w:hAnsi="宋体" w:eastAsia="宋体" w:cs="宋体"/>
          <w:sz w:val="24"/>
        </w:rPr>
      </w:pPr>
      <w:bookmarkStart w:id="3" w:name="_Toc53324044"/>
      <w:r>
        <w:rPr>
          <w:rFonts w:hint="eastAsia" w:ascii="宋体" w:hAnsi="宋体" w:eastAsia="宋体" w:cs="宋体"/>
          <w:sz w:val="24"/>
        </w:rPr>
        <w:t>3. 透明度</w:t>
      </w:r>
      <w:bookmarkEnd w:id="3"/>
    </w:p>
    <w:p w14:paraId="506CD26D">
      <w:pPr>
        <w:spacing w:line="360" w:lineRule="auto"/>
        <w:rPr>
          <w:rFonts w:hint="eastAsia" w:ascii="宋体" w:hAnsi="宋体" w:eastAsia="宋体" w:cs="宋体"/>
          <w:sz w:val="24"/>
        </w:rPr>
      </w:pPr>
      <w:bookmarkStart w:id="4" w:name="_Toc53324045"/>
      <w:r>
        <w:rPr>
          <w:rFonts w:hint="eastAsia" w:ascii="宋体" w:hAnsi="宋体" w:eastAsia="宋体" w:cs="宋体"/>
          <w:sz w:val="24"/>
        </w:rPr>
        <w:t>4. 材料管理</w:t>
      </w:r>
      <w:bookmarkEnd w:id="4"/>
    </w:p>
    <w:p w14:paraId="258B9206">
      <w:pPr>
        <w:spacing w:line="360" w:lineRule="auto"/>
        <w:rPr>
          <w:rFonts w:eastAsiaTheme="minorEastAsia"/>
          <w:sz w:val="24"/>
        </w:rPr>
      </w:pPr>
      <w:r>
        <w:rPr>
          <w:rFonts w:eastAsiaTheme="minorEastAsia"/>
          <w:b/>
          <w:bCs/>
          <w:sz w:val="28"/>
          <w:szCs w:val="28"/>
        </w:rPr>
        <w:t xml:space="preserve">二、环境  </w:t>
      </w:r>
      <w:r>
        <w:rPr>
          <w:rFonts w:eastAsiaTheme="minorEastAsia"/>
          <w:sz w:val="24"/>
        </w:rPr>
        <w:t xml:space="preserve">      </w:t>
      </w:r>
    </w:p>
    <w:p w14:paraId="79D18EA3">
      <w:pPr>
        <w:spacing w:line="360" w:lineRule="auto"/>
        <w:rPr>
          <w:rFonts w:hint="eastAsia" w:ascii="宋体" w:hAnsi="宋体" w:eastAsia="宋体" w:cs="宋体"/>
          <w:sz w:val="24"/>
        </w:rPr>
      </w:pPr>
      <w:r>
        <w:rPr>
          <w:rFonts w:hint="eastAsia" w:ascii="宋体" w:hAnsi="宋体" w:eastAsia="宋体" w:cs="宋体"/>
          <w:sz w:val="24"/>
        </w:rPr>
        <w:t>5. 温室气体排放</w:t>
      </w:r>
    </w:p>
    <w:p w14:paraId="775A0AC2">
      <w:pPr>
        <w:spacing w:line="360" w:lineRule="auto"/>
        <w:rPr>
          <w:rFonts w:hint="eastAsia" w:ascii="宋体" w:hAnsi="宋体" w:eastAsia="宋体" w:cs="宋体"/>
          <w:sz w:val="24"/>
        </w:rPr>
      </w:pPr>
      <w:bookmarkStart w:id="5" w:name="_Toc53324046"/>
      <w:r>
        <w:rPr>
          <w:rFonts w:hint="eastAsia" w:ascii="宋体" w:hAnsi="宋体" w:eastAsia="宋体" w:cs="宋体"/>
          <w:sz w:val="24"/>
        </w:rPr>
        <w:t>6. 大气污染物、水污染物和固体废物</w:t>
      </w:r>
      <w:bookmarkEnd w:id="5"/>
      <w:r>
        <w:rPr>
          <w:rFonts w:hint="eastAsia" w:ascii="宋体" w:hAnsi="宋体" w:eastAsia="宋体" w:cs="宋体"/>
          <w:sz w:val="24"/>
        </w:rPr>
        <w:t xml:space="preserve"> </w:t>
      </w:r>
    </w:p>
    <w:p w14:paraId="545BA4F1">
      <w:pPr>
        <w:spacing w:line="360" w:lineRule="auto"/>
        <w:rPr>
          <w:rFonts w:hint="eastAsia" w:ascii="宋体" w:hAnsi="宋体" w:eastAsia="宋体" w:cs="宋体"/>
          <w:sz w:val="24"/>
        </w:rPr>
      </w:pPr>
      <w:bookmarkStart w:id="6" w:name="_Toc53324047"/>
      <w:r>
        <w:rPr>
          <w:rFonts w:hint="eastAsia" w:ascii="宋体" w:hAnsi="宋体" w:eastAsia="宋体" w:cs="宋体"/>
          <w:sz w:val="24"/>
        </w:rPr>
        <w:t>7. 水资源管理</w:t>
      </w:r>
      <w:bookmarkEnd w:id="6"/>
      <w:r>
        <w:rPr>
          <w:rFonts w:hint="eastAsia" w:ascii="宋体" w:hAnsi="宋体" w:eastAsia="宋体" w:cs="宋体"/>
          <w:sz w:val="24"/>
        </w:rPr>
        <w:t xml:space="preserve"> </w:t>
      </w:r>
    </w:p>
    <w:p w14:paraId="5AD3A41D">
      <w:pPr>
        <w:spacing w:line="360" w:lineRule="auto"/>
        <w:rPr>
          <w:rFonts w:hint="eastAsia" w:ascii="宋体" w:hAnsi="宋体" w:eastAsia="宋体" w:cs="宋体"/>
          <w:sz w:val="24"/>
        </w:rPr>
      </w:pPr>
      <w:bookmarkStart w:id="7" w:name="_Toc53324048"/>
      <w:r>
        <w:rPr>
          <w:rFonts w:hint="eastAsia" w:ascii="宋体" w:hAnsi="宋体" w:eastAsia="宋体" w:cs="宋体"/>
          <w:sz w:val="24"/>
        </w:rPr>
        <w:t>8. 生物多样性</w:t>
      </w:r>
      <w:bookmarkEnd w:id="7"/>
      <w:r>
        <w:rPr>
          <w:rFonts w:hint="eastAsia" w:ascii="宋体" w:hAnsi="宋体" w:eastAsia="宋体" w:cs="宋体"/>
          <w:sz w:val="24"/>
        </w:rPr>
        <w:t xml:space="preserve"> </w:t>
      </w:r>
    </w:p>
    <w:p w14:paraId="68C18377">
      <w:pPr>
        <w:spacing w:line="360" w:lineRule="auto"/>
        <w:rPr>
          <w:rFonts w:eastAsiaTheme="minorEastAsia"/>
          <w:sz w:val="24"/>
        </w:rPr>
      </w:pPr>
      <w:r>
        <w:rPr>
          <w:rFonts w:eastAsiaTheme="minorEastAsia"/>
          <w:b/>
          <w:bCs/>
          <w:sz w:val="28"/>
          <w:szCs w:val="28"/>
        </w:rPr>
        <w:t xml:space="preserve">三、社会 </w:t>
      </w:r>
      <w:r>
        <w:rPr>
          <w:rFonts w:eastAsiaTheme="minorEastAsia"/>
          <w:sz w:val="24"/>
        </w:rPr>
        <w:t xml:space="preserve">       </w:t>
      </w:r>
    </w:p>
    <w:p w14:paraId="044BE254">
      <w:pPr>
        <w:spacing w:line="360" w:lineRule="auto"/>
        <w:rPr>
          <w:rFonts w:hint="eastAsia" w:ascii="宋体" w:hAnsi="宋体" w:eastAsia="宋体" w:cs="宋体"/>
          <w:sz w:val="24"/>
        </w:rPr>
      </w:pPr>
      <w:r>
        <w:rPr>
          <w:rFonts w:hint="eastAsia" w:ascii="宋体" w:hAnsi="宋体" w:eastAsia="宋体" w:cs="宋体"/>
          <w:sz w:val="24"/>
        </w:rPr>
        <w:t xml:space="preserve">9. 人权 </w:t>
      </w:r>
    </w:p>
    <w:p w14:paraId="6E36524E">
      <w:pPr>
        <w:spacing w:line="360" w:lineRule="auto"/>
        <w:rPr>
          <w:rFonts w:hint="eastAsia" w:ascii="宋体" w:hAnsi="宋体" w:eastAsia="宋体" w:cs="宋体"/>
          <w:sz w:val="24"/>
        </w:rPr>
      </w:pPr>
      <w:bookmarkStart w:id="8" w:name="_Toc53324049"/>
      <w:r>
        <w:rPr>
          <w:rFonts w:hint="eastAsia" w:ascii="宋体" w:hAnsi="宋体" w:eastAsia="宋体" w:cs="宋体"/>
          <w:sz w:val="24"/>
        </w:rPr>
        <w:t>10. 劳工权益</w:t>
      </w:r>
      <w:bookmarkEnd w:id="8"/>
      <w:r>
        <w:rPr>
          <w:rFonts w:hint="eastAsia" w:ascii="宋体" w:hAnsi="宋体" w:eastAsia="宋体" w:cs="宋体"/>
          <w:sz w:val="24"/>
        </w:rPr>
        <w:t xml:space="preserve"> </w:t>
      </w:r>
    </w:p>
    <w:p w14:paraId="35007778">
      <w:pPr>
        <w:spacing w:line="360" w:lineRule="auto"/>
        <w:rPr>
          <w:rFonts w:eastAsiaTheme="minorEastAsia"/>
          <w:sz w:val="24"/>
        </w:rPr>
      </w:pPr>
      <w:bookmarkStart w:id="9" w:name="_Toc53324050"/>
      <w:r>
        <w:rPr>
          <w:rFonts w:hint="eastAsia" w:ascii="宋体" w:hAnsi="宋体" w:eastAsia="宋体" w:cs="宋体"/>
          <w:sz w:val="24"/>
        </w:rPr>
        <w:t>11. 职业健康与安全</w:t>
      </w:r>
      <w:bookmarkEnd w:id="9"/>
      <w:r>
        <w:rPr>
          <w:rFonts w:eastAsiaTheme="minorEastAsia"/>
          <w:sz w:val="24"/>
        </w:rPr>
        <w:t xml:space="preserve"> </w:t>
      </w:r>
    </w:p>
    <w:p w14:paraId="5E452C26">
      <w:pPr>
        <w:spacing w:line="360" w:lineRule="auto"/>
        <w:ind w:firstLine="480" w:firstLineChars="200"/>
        <w:rPr>
          <w:rFonts w:hint="eastAsia" w:eastAsiaTheme="minorEastAsia"/>
          <w:color w:val="auto"/>
          <w:sz w:val="24"/>
          <w:lang w:val="en-US" w:eastAsia="zh-CN"/>
        </w:rPr>
      </w:pPr>
      <w:r>
        <w:rPr>
          <w:rFonts w:eastAsiaTheme="minorEastAsia"/>
          <w:sz w:val="24"/>
        </w:rPr>
        <w:t>本手册是公司各级人员推进ASI体系管理应遵循的主要文件，是对ASI组织的承诺，也是第三方对本公司进行审核与认证的依据。本手册覆盖的范围：</w:t>
      </w:r>
      <w:r>
        <w:rPr>
          <w:rFonts w:hint="eastAsia" w:eastAsiaTheme="minorEastAsia"/>
          <w:color w:val="auto"/>
          <w:sz w:val="24"/>
          <w:lang w:val="en-US" w:eastAsia="zh-CN"/>
        </w:rPr>
        <w:t>铝合金制造。</w:t>
      </w:r>
    </w:p>
    <w:p w14:paraId="3F337F9C">
      <w:pPr>
        <w:spacing w:line="360" w:lineRule="auto"/>
        <w:ind w:firstLine="420" w:firstLineChars="200"/>
        <w:rPr>
          <w:rFonts w:eastAsiaTheme="minorEastAsia"/>
          <w:sz w:val="24"/>
        </w:rPr>
      </w:pPr>
      <w:r>
        <w:drawing>
          <wp:anchor distT="0" distB="0" distL="114300" distR="114300" simplePos="0" relativeHeight="251673600" behindDoc="0" locked="0" layoutInCell="1" allowOverlap="1">
            <wp:simplePos x="0" y="0"/>
            <wp:positionH relativeFrom="column">
              <wp:posOffset>3963670</wp:posOffset>
            </wp:positionH>
            <wp:positionV relativeFrom="paragraph">
              <wp:posOffset>232410</wp:posOffset>
            </wp:positionV>
            <wp:extent cx="835025" cy="601980"/>
            <wp:effectExtent l="0" t="0" r="3175" b="7620"/>
            <wp:wrapSquare wrapText="bothSides"/>
            <wp:docPr id="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pic:cNvPicPr>
                      <a:picLocks noChangeAspect="1"/>
                    </pic:cNvPicPr>
                  </pic:nvPicPr>
                  <pic:blipFill>
                    <a:blip r:embed="rId11"/>
                    <a:stretch>
                      <a:fillRect/>
                    </a:stretch>
                  </pic:blipFill>
                  <pic:spPr>
                    <a:xfrm>
                      <a:off x="0" y="0"/>
                      <a:ext cx="835025" cy="601980"/>
                    </a:xfrm>
                    <a:prstGeom prst="rect">
                      <a:avLst/>
                    </a:prstGeom>
                    <a:noFill/>
                    <a:ln w="9525">
                      <a:noFill/>
                    </a:ln>
                  </pic:spPr>
                </pic:pic>
              </a:graphicData>
            </a:graphic>
          </wp:anchor>
        </w:drawing>
      </w:r>
      <w:r>
        <w:rPr>
          <w:rFonts w:eastAsiaTheme="minorEastAsia"/>
          <w:sz w:val="24"/>
        </w:rPr>
        <w:t>本手册由</w:t>
      </w:r>
      <w:r>
        <w:rPr>
          <w:rFonts w:hint="eastAsia" w:eastAsiaTheme="minorEastAsia"/>
          <w:sz w:val="24"/>
          <w:lang w:val="en-US" w:eastAsia="zh-CN"/>
        </w:rPr>
        <w:t>质保部</w:t>
      </w:r>
      <w:r>
        <w:rPr>
          <w:rFonts w:eastAsiaTheme="minorEastAsia"/>
          <w:sz w:val="24"/>
        </w:rPr>
        <w:t>归口管理。</w:t>
      </w:r>
    </w:p>
    <w:p w14:paraId="684E7A07">
      <w:pPr>
        <w:spacing w:line="360" w:lineRule="auto"/>
        <w:ind w:firstLine="480" w:firstLineChars="200"/>
        <w:rPr>
          <w:rFonts w:eastAsiaTheme="minorEastAsia"/>
          <w:sz w:val="24"/>
          <w:highlight w:val="none"/>
        </w:rPr>
      </w:pPr>
      <w:r>
        <w:rPr>
          <w:rFonts w:eastAsiaTheme="minorEastAsia"/>
          <w:sz w:val="24"/>
        </w:rPr>
        <w:t>本手册自颁布之日起正式实施。</w:t>
      </w:r>
    </w:p>
    <w:p w14:paraId="05BDDE61">
      <w:pPr>
        <w:spacing w:line="360" w:lineRule="auto"/>
        <w:ind w:firstLine="5040" w:firstLineChars="2100"/>
        <w:rPr>
          <w:rFonts w:eastAsiaTheme="minorEastAsia"/>
          <w:sz w:val="24"/>
          <w:highlight w:val="none"/>
        </w:rPr>
      </w:pPr>
      <w:r>
        <w:rPr>
          <w:rFonts w:eastAsiaTheme="minorEastAsia"/>
          <w:sz w:val="24"/>
          <w:highlight w:val="none"/>
        </w:rPr>
        <w:t>总经理：</w:t>
      </w:r>
    </w:p>
    <w:p w14:paraId="7C939F5E">
      <w:pPr>
        <w:spacing w:line="360" w:lineRule="auto"/>
        <w:ind w:firstLine="5040" w:firstLineChars="2100"/>
        <w:rPr>
          <w:rFonts w:hint="default" w:eastAsiaTheme="minorEastAsia"/>
          <w:sz w:val="24"/>
          <w:highlight w:val="none"/>
          <w:lang w:val="en-US" w:eastAsia="zh-CN"/>
        </w:rPr>
      </w:pPr>
      <w:r>
        <w:rPr>
          <w:rFonts w:hint="eastAsia" w:eastAsiaTheme="minorEastAsia"/>
          <w:sz w:val="24"/>
          <w:highlight w:val="none"/>
          <w:lang w:val="en-US" w:eastAsia="zh-CN"/>
        </w:rPr>
        <w:t>日  期：2024年01月01日</w:t>
      </w:r>
    </w:p>
    <w:p w14:paraId="3D5D187D">
      <w:pPr>
        <w:spacing w:line="360" w:lineRule="auto"/>
        <w:ind w:firstLine="3602" w:firstLineChars="1200"/>
        <w:jc w:val="both"/>
        <w:outlineLvl w:val="0"/>
        <w:rPr>
          <w:rFonts w:hint="eastAsia" w:ascii="微软雅黑" w:hAnsi="微软雅黑" w:eastAsia="微软雅黑" w:cs="微软雅黑"/>
          <w:b/>
          <w:bCs/>
          <w:sz w:val="30"/>
          <w:szCs w:val="30"/>
        </w:rPr>
      </w:pPr>
      <w:bookmarkStart w:id="10" w:name="_Toc6974"/>
      <w:r>
        <w:rPr>
          <w:rFonts w:hint="eastAsia" w:ascii="微软雅黑" w:hAnsi="微软雅黑" w:eastAsia="微软雅黑" w:cs="微软雅黑"/>
          <w:b/>
          <w:bCs/>
          <w:sz w:val="30"/>
          <w:szCs w:val="30"/>
        </w:rPr>
        <w:t>0.2企业简介</w:t>
      </w:r>
      <w:bookmarkEnd w:id="10"/>
    </w:p>
    <w:p w14:paraId="479E49A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rPr>
      </w:pPr>
      <w:r>
        <w:rPr>
          <w:rFonts w:hint="eastAsia"/>
          <w:sz w:val="24"/>
        </w:rPr>
        <w:t>广东隆达铝业有限公司成立于</w:t>
      </w:r>
      <w:r>
        <w:rPr>
          <w:sz w:val="24"/>
        </w:rPr>
        <w:t>2006</w:t>
      </w:r>
      <w:r>
        <w:rPr>
          <w:rFonts w:hint="eastAsia"/>
          <w:sz w:val="24"/>
        </w:rPr>
        <w:t>年</w:t>
      </w:r>
      <w:r>
        <w:rPr>
          <w:sz w:val="24"/>
        </w:rPr>
        <w:t>6</w:t>
      </w:r>
      <w:r>
        <w:rPr>
          <w:rFonts w:hint="eastAsia"/>
          <w:sz w:val="24"/>
        </w:rPr>
        <w:t>月</w:t>
      </w:r>
      <w:r>
        <w:rPr>
          <w:sz w:val="24"/>
        </w:rPr>
        <w:t>7</w:t>
      </w:r>
      <w:r>
        <w:rPr>
          <w:rFonts w:hint="eastAsia"/>
          <w:sz w:val="24"/>
        </w:rPr>
        <w:t>日，位于广东清远石角循环经济产业园产业园，地处广州、佛山和清远三市交界，交通便利；距广州市区以及白云机场50Km</w:t>
      </w:r>
      <w:r>
        <w:rPr>
          <w:rFonts w:hint="eastAsia"/>
          <w:sz w:val="24"/>
          <w:lang w:eastAsia="zh-CN"/>
        </w:rPr>
        <w:t>；</w:t>
      </w:r>
      <w:r>
        <w:rPr>
          <w:rFonts w:hint="eastAsia"/>
          <w:sz w:val="24"/>
        </w:rPr>
        <w:t>距高铁清远站、广清城际轻轨30K，占地面积</w:t>
      </w:r>
      <w:r>
        <w:rPr>
          <w:sz w:val="24"/>
        </w:rPr>
        <w:t>270</w:t>
      </w:r>
      <w:r>
        <w:rPr>
          <w:rFonts w:hint="eastAsia"/>
          <w:sz w:val="24"/>
        </w:rPr>
        <w:t>亩，主要投资股东有保定隆达铝业有限公司、日本金属株式会社、河北</w:t>
      </w:r>
      <w:r>
        <w:rPr>
          <w:rFonts w:hint="eastAsia"/>
          <w:sz w:val="24"/>
          <w:lang w:eastAsia="zh-CN"/>
        </w:rPr>
        <w:t>新</w:t>
      </w:r>
      <w:r>
        <w:rPr>
          <w:rFonts w:hint="eastAsia"/>
          <w:sz w:val="24"/>
        </w:rPr>
        <w:t>立中有色金属集团有限公司，设计年产能为</w:t>
      </w:r>
      <w:r>
        <w:rPr>
          <w:sz w:val="24"/>
        </w:rPr>
        <w:t>20</w:t>
      </w:r>
      <w:r>
        <w:rPr>
          <w:rFonts w:hint="eastAsia"/>
          <w:sz w:val="24"/>
        </w:rPr>
        <w:t>万吨高品质铸造铝合金材料，目前一期</w:t>
      </w:r>
      <w:r>
        <w:rPr>
          <w:sz w:val="24"/>
        </w:rPr>
        <w:t>10</w:t>
      </w:r>
      <w:r>
        <w:rPr>
          <w:rFonts w:hint="eastAsia"/>
          <w:sz w:val="24"/>
        </w:rPr>
        <w:t>万吨项目已建成投产。产品包括铝锭、铝液，用于汽车发动机的缸体、缸盖、进气歧管等汽车零部件产品的制造与部分电子类、民用零部件的制造。</w:t>
      </w:r>
    </w:p>
    <w:p w14:paraId="2926A352">
      <w:pPr>
        <w:spacing w:before="156" w:beforeLines="50" w:after="156" w:afterLines="50" w:line="400" w:lineRule="exact"/>
        <w:ind w:firstLine="480" w:firstLineChars="200"/>
        <w:rPr>
          <w:rFonts w:hint="eastAsia" w:ascii="宋体" w:hAnsi="宋体"/>
          <w:sz w:val="24"/>
        </w:rPr>
      </w:pPr>
      <w:r>
        <w:rPr>
          <w:rFonts w:hint="eastAsia" w:ascii="宋体" w:hAnsi="宋体"/>
          <w:sz w:val="24"/>
        </w:rPr>
        <w:t>公司致力于中国中高端汽车品牌发动机动力总成及其零部件轻量化铝合金材料的配套服务、生产和销售，通过“三个定位”的服务理念，快速成长为知名汽车主机厂和零部件制造商的配套企业。</w:t>
      </w:r>
    </w:p>
    <w:p w14:paraId="465ED390">
      <w:pPr>
        <w:tabs>
          <w:tab w:val="left" w:pos="0"/>
          <w:tab w:val="left" w:pos="630"/>
        </w:tabs>
        <w:spacing w:line="360" w:lineRule="auto"/>
        <w:ind w:firstLine="480" w:firstLineChars="200"/>
        <w:rPr>
          <w:rFonts w:ascii="宋体" w:hAnsi="宋体" w:cs="宋体"/>
          <w:b/>
          <w:bCs/>
          <w:sz w:val="24"/>
        </w:rPr>
      </w:pPr>
      <w:r>
        <w:rPr>
          <w:rFonts w:hint="eastAsia" w:ascii="宋体" w:hAnsi="宋体"/>
          <w:color w:val="0C0C0C"/>
          <w:sz w:val="24"/>
        </w:rPr>
        <w:t>公司95%以上产品用在了汽车轻量化材料如缸盖、缸体、进歧管和变速箱壳体等产品上；随着汽车轻量化的深入，我公司产品逐步向如方向盘、刹车卡钳、减震塔、底盘前桥支架、新能源电池包等高强、高韧性能结构件产品上实现应用。</w:t>
      </w:r>
    </w:p>
    <w:p w14:paraId="73229A78">
      <w:pPr>
        <w:keepNext w:val="0"/>
        <w:keepLines w:val="0"/>
        <w:pageBreakBefore w:val="0"/>
        <w:widowControl w:val="0"/>
        <w:kinsoku/>
        <w:wordWrap/>
        <w:overflowPunct/>
        <w:topLinePunct w:val="0"/>
        <w:autoSpaceDE/>
        <w:autoSpaceDN/>
        <w:bidi w:val="0"/>
        <w:adjustRightInd/>
        <w:spacing w:line="360" w:lineRule="auto"/>
        <w:ind w:firstLine="480" w:firstLineChars="200"/>
        <w:jc w:val="left"/>
        <w:textAlignment w:val="auto"/>
        <w:rPr>
          <w:rFonts w:ascii="宋体" w:hAnsi="宋体"/>
          <w:sz w:val="24"/>
        </w:rPr>
      </w:pPr>
      <w:r>
        <w:rPr>
          <w:rFonts w:hint="eastAsia" w:ascii="宋体" w:hAnsi="宋体"/>
          <w:sz w:val="24"/>
        </w:rPr>
        <w:t>公司秉承“比别人多努力一点、和别人多合作一点”的企业精神，以专注、专业为核心竞争力，充分发挥地缘优势，与客户形成全方位战略联盟的合作伙伴关系。公司强调过程控制，预防为主，通过改进工艺，优化工序，减少产生缺陷的各种可能性，采取一切可能采取的质量改进措施,不断满足顾客的质量需求，努力使公司成为精益求精，质量上乘的企业。</w:t>
      </w:r>
    </w:p>
    <w:p w14:paraId="4E4A03D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sz w:val="24"/>
          <w:lang w:val="en-US" w:eastAsia="zh-CN"/>
        </w:rPr>
      </w:pPr>
      <w:r>
        <w:rPr>
          <w:rFonts w:ascii="宋体" w:hAnsi="宋体"/>
          <w:sz w:val="24"/>
        </w:rPr>
        <w:t>名    称：</w:t>
      </w:r>
      <w:r>
        <w:rPr>
          <w:rFonts w:hint="eastAsia" w:ascii="宋体" w:hAnsi="宋体"/>
          <w:sz w:val="24"/>
          <w:lang w:val="en-US" w:eastAsia="zh-CN"/>
        </w:rPr>
        <w:t>广东隆达铝业有限公司</w:t>
      </w:r>
    </w:p>
    <w:p w14:paraId="45C4EFE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sz w:val="24"/>
          <w:lang w:val="en-US" w:eastAsia="zh-CN"/>
        </w:rPr>
      </w:pPr>
      <w:r>
        <w:rPr>
          <w:rFonts w:ascii="宋体" w:hAnsi="宋体"/>
          <w:sz w:val="24"/>
        </w:rPr>
        <w:t>法人代表：</w:t>
      </w:r>
      <w:r>
        <w:rPr>
          <w:rFonts w:hint="eastAsia" w:ascii="宋体" w:hAnsi="宋体"/>
          <w:sz w:val="24"/>
          <w:lang w:val="en-US" w:eastAsia="zh-CN"/>
        </w:rPr>
        <w:t>臧立根</w:t>
      </w:r>
    </w:p>
    <w:p w14:paraId="75ECBDC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宋体" w:hAnsi="宋体" w:eastAsia="宋体"/>
          <w:sz w:val="24"/>
          <w:lang w:val="en-US" w:eastAsia="zh-CN"/>
        </w:rPr>
      </w:pPr>
      <w:r>
        <w:rPr>
          <w:rFonts w:hint="eastAsia" w:ascii="宋体" w:hAnsi="宋体"/>
          <w:sz w:val="24"/>
        </w:rPr>
        <w:t>总 经 理</w:t>
      </w:r>
      <w:r>
        <w:rPr>
          <w:rFonts w:ascii="宋体" w:hAnsi="宋体"/>
          <w:sz w:val="24"/>
        </w:rPr>
        <w:t>：</w:t>
      </w:r>
      <w:r>
        <w:rPr>
          <w:rFonts w:hint="eastAsia" w:ascii="宋体" w:hAnsi="宋体"/>
          <w:sz w:val="24"/>
          <w:lang w:val="en-US" w:eastAsia="zh-CN"/>
        </w:rPr>
        <w:t>敖青锋</w:t>
      </w:r>
    </w:p>
    <w:p w14:paraId="159DC5B8">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sz w:val="24"/>
        </w:rPr>
      </w:pPr>
      <w:r>
        <w:rPr>
          <w:rFonts w:ascii="宋体" w:hAnsi="宋体"/>
          <w:sz w:val="24"/>
        </w:rPr>
        <w:t>注册地址：</w:t>
      </w:r>
      <w:r>
        <w:rPr>
          <w:rFonts w:hint="eastAsia" w:ascii="宋体" w:hAnsi="宋体"/>
          <w:sz w:val="24"/>
          <w:lang w:eastAsia="zh-CN"/>
        </w:rPr>
        <w:t>清远市清城区石角镇循环经济产业园西区</w:t>
      </w:r>
      <w:r>
        <w:rPr>
          <w:rFonts w:hint="eastAsia" w:ascii="宋体" w:hAnsi="宋体"/>
          <w:sz w:val="24"/>
          <w:lang w:val="en-US" w:eastAsia="zh-CN"/>
        </w:rPr>
        <w:t>6号</w:t>
      </w:r>
    </w:p>
    <w:p w14:paraId="1ABFF1E0">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sz w:val="24"/>
        </w:rPr>
      </w:pPr>
      <w:r>
        <w:rPr>
          <w:rFonts w:ascii="宋体" w:hAnsi="宋体"/>
          <w:sz w:val="24"/>
        </w:rPr>
        <w:t>办公地址：</w:t>
      </w:r>
      <w:r>
        <w:rPr>
          <w:rFonts w:hint="eastAsia" w:ascii="宋体" w:hAnsi="宋体"/>
          <w:sz w:val="24"/>
          <w:lang w:eastAsia="zh-CN"/>
        </w:rPr>
        <w:t>清远市清城区石角镇循环经济产业园西区</w:t>
      </w:r>
      <w:r>
        <w:rPr>
          <w:rFonts w:hint="eastAsia" w:ascii="宋体" w:hAnsi="宋体"/>
          <w:sz w:val="24"/>
          <w:lang w:val="en-US" w:eastAsia="zh-CN"/>
        </w:rPr>
        <w:t>6号</w:t>
      </w:r>
      <w:r>
        <w:rPr>
          <w:rFonts w:ascii="宋体" w:hAnsi="宋体"/>
          <w:sz w:val="24"/>
        </w:rPr>
        <w:t xml:space="preserve"> </w:t>
      </w:r>
    </w:p>
    <w:p w14:paraId="6F141439">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sz w:val="24"/>
        </w:rPr>
      </w:pPr>
      <w:r>
        <w:rPr>
          <w:rFonts w:ascii="宋体" w:hAnsi="宋体"/>
          <w:sz w:val="24"/>
        </w:rPr>
        <w:t>电    话：</w:t>
      </w:r>
      <w:r>
        <w:rPr>
          <w:rFonts w:hint="eastAsia" w:ascii="宋体" w:hAnsi="宋体"/>
          <w:sz w:val="24"/>
          <w:lang w:val="en-US" w:eastAsia="zh-CN"/>
        </w:rPr>
        <w:t>0763</w:t>
      </w:r>
      <w:r>
        <w:rPr>
          <w:rFonts w:hint="eastAsia" w:ascii="宋体" w:hAnsi="宋体"/>
          <w:sz w:val="24"/>
        </w:rPr>
        <w:t>-</w:t>
      </w:r>
      <w:r>
        <w:rPr>
          <w:rFonts w:hint="eastAsia" w:ascii="宋体" w:hAnsi="宋体"/>
          <w:sz w:val="24"/>
          <w:lang w:val="en-US" w:eastAsia="zh-CN"/>
        </w:rPr>
        <w:t>6896239</w:t>
      </w:r>
      <w:r>
        <w:rPr>
          <w:rFonts w:ascii="宋体" w:hAnsi="宋体"/>
          <w:sz w:val="24"/>
        </w:rPr>
        <w:t xml:space="preserve"> </w:t>
      </w:r>
    </w:p>
    <w:p w14:paraId="77DAD846">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宋体" w:hAnsi="宋体" w:eastAsia="宋体"/>
          <w:sz w:val="24"/>
          <w:lang w:val="en-US" w:eastAsia="zh-CN"/>
        </w:rPr>
      </w:pPr>
      <w:r>
        <w:rPr>
          <w:rFonts w:ascii="宋体" w:hAnsi="宋体"/>
          <w:sz w:val="24"/>
        </w:rPr>
        <w:t>邮    箱：</w:t>
      </w:r>
      <w:r>
        <w:rPr>
          <w:rFonts w:hint="eastAsia" w:ascii="宋体" w:hAnsi="宋体"/>
          <w:sz w:val="24"/>
          <w:lang w:val="en-US" w:eastAsia="zh-CN"/>
        </w:rPr>
        <w:t>gdguanli@longdalvye.com</w:t>
      </w:r>
    </w:p>
    <w:p w14:paraId="00C3735C">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sz w:val="24"/>
        </w:rPr>
      </w:pPr>
      <w:r>
        <w:rPr>
          <w:rFonts w:ascii="宋体" w:hAnsi="宋体"/>
          <w:sz w:val="24"/>
        </w:rPr>
        <w:t>网    址：</w:t>
      </w:r>
      <w:r>
        <w:rPr>
          <w:rFonts w:hint="eastAsia" w:ascii="宋体" w:hAnsi="宋体"/>
          <w:sz w:val="24"/>
        </w:rPr>
        <w:fldChar w:fldCharType="begin"/>
      </w:r>
      <w:r>
        <w:rPr>
          <w:rFonts w:hint="eastAsia" w:ascii="宋体" w:hAnsi="宋体"/>
          <w:sz w:val="24"/>
        </w:rPr>
        <w:instrText xml:space="preserve"> HYPERLINK "http://gdld.lizhong.com.cn" </w:instrText>
      </w:r>
      <w:r>
        <w:rPr>
          <w:rFonts w:hint="eastAsia" w:ascii="宋体" w:hAnsi="宋体"/>
          <w:sz w:val="24"/>
        </w:rPr>
        <w:fldChar w:fldCharType="separate"/>
      </w:r>
      <w:r>
        <w:rPr>
          <w:rStyle w:val="34"/>
          <w:rFonts w:hint="eastAsia" w:ascii="宋体" w:hAnsi="宋体"/>
          <w:sz w:val="24"/>
        </w:rPr>
        <w:t>http://gdld.lizhong.com.cn</w:t>
      </w:r>
      <w:r>
        <w:rPr>
          <w:rFonts w:hint="eastAsia" w:ascii="宋体" w:hAnsi="宋体"/>
          <w:sz w:val="24"/>
        </w:rPr>
        <w:fldChar w:fldCharType="end"/>
      </w:r>
    </w:p>
    <w:p w14:paraId="6D3D0D90">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cs="宋体"/>
          <w:b/>
          <w:bCs/>
          <w:sz w:val="32"/>
          <w:szCs w:val="32"/>
        </w:rPr>
      </w:pPr>
      <w:r>
        <w:rPr>
          <w:rFonts w:ascii="宋体" w:hAnsi="宋体"/>
          <w:sz w:val="24"/>
        </w:rPr>
        <w:t>邮编号码：</w:t>
      </w:r>
      <w:bookmarkStart w:id="11" w:name="_Hlk143120484"/>
      <w:bookmarkEnd w:id="11"/>
      <w:r>
        <w:rPr>
          <w:rFonts w:hint="eastAsia" w:ascii="宋体" w:hAnsi="宋体"/>
          <w:sz w:val="24"/>
          <w:lang w:val="en-US" w:eastAsia="zh-CN"/>
        </w:rPr>
        <w:t>511505</w:t>
      </w:r>
    </w:p>
    <w:p w14:paraId="3917E0EA">
      <w:pPr>
        <w:spacing w:line="360" w:lineRule="auto"/>
        <w:jc w:val="center"/>
        <w:rPr>
          <w:rFonts w:ascii="宋体" w:hAnsi="宋体" w:cs="宋体"/>
          <w:b/>
          <w:bCs/>
          <w:sz w:val="32"/>
          <w:szCs w:val="32"/>
        </w:rPr>
      </w:pPr>
    </w:p>
    <w:p w14:paraId="63C628CB">
      <w:pPr>
        <w:spacing w:line="360" w:lineRule="auto"/>
        <w:rPr>
          <w:rFonts w:eastAsiaTheme="minorEastAsia"/>
          <w:sz w:val="24"/>
        </w:rPr>
      </w:pPr>
    </w:p>
    <w:p w14:paraId="63B3D740">
      <w:pPr>
        <w:pStyle w:val="25"/>
        <w:spacing w:before="0" w:after="0" w:line="360" w:lineRule="auto"/>
        <w:jc w:val="center"/>
        <w:rPr>
          <w:rFonts w:eastAsiaTheme="minorEastAsia"/>
          <w:sz w:val="30"/>
          <w:szCs w:val="30"/>
        </w:rPr>
      </w:pPr>
      <w:bookmarkStart w:id="12" w:name="_Toc1381"/>
      <w:r>
        <w:rPr>
          <w:rFonts w:hint="eastAsia" w:ascii="微软雅黑" w:hAnsi="微软雅黑" w:eastAsia="微软雅黑" w:cs="微软雅黑"/>
          <w:sz w:val="30"/>
          <w:szCs w:val="30"/>
        </w:rPr>
        <w:t>0.3 ASI体系承诺书</w:t>
      </w:r>
      <w:bookmarkEnd w:id="12"/>
    </w:p>
    <w:p w14:paraId="15CBC235">
      <w:pPr>
        <w:spacing w:line="360" w:lineRule="auto"/>
        <w:jc w:val="center"/>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铝业管理倡议（ASI）绩效标准管理体系承诺书</w:t>
      </w:r>
    </w:p>
    <w:p w14:paraId="7340322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我司做出以下承诺：</w:t>
      </w:r>
    </w:p>
    <w:p w14:paraId="00D23BE0">
      <w:pPr>
        <w:pStyle w:val="25"/>
        <w:spacing w:before="0" w:after="0" w:line="360" w:lineRule="auto"/>
        <w:jc w:val="left"/>
        <w:rPr>
          <w:rFonts w:hint="eastAsia" w:ascii="宋体" w:hAnsi="宋体" w:eastAsia="宋体" w:cs="宋体"/>
          <w:sz w:val="24"/>
        </w:rPr>
      </w:pPr>
      <w:r>
        <w:rPr>
          <w:rFonts w:hint="eastAsia" w:ascii="宋体" w:hAnsi="宋体" w:eastAsia="宋体" w:cs="宋体"/>
          <w:sz w:val="24"/>
        </w:rPr>
        <w:t>1.根据铝业管理倡议（ASI）绩效标准相关的要求建立管理体系，采取适当方式来评估、预防和弥补潜在的社会不利影响。</w:t>
      </w:r>
    </w:p>
    <w:p w14:paraId="1C4FAB2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2.根据铝业管理倡议（ASI）绩效标准管理体系要求，识别适用的法律法规以及客户要求，并确保遵守。</w:t>
      </w:r>
    </w:p>
    <w:p w14:paraId="376612D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3.保证反对一切形式的腐败，包括敲诈和贿赂。</w:t>
      </w:r>
    </w:p>
    <w:p w14:paraId="61EEC53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4.保证尊重妇女、原住民权益。</w:t>
      </w:r>
    </w:p>
    <w:p w14:paraId="2010F38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5.如项目所在地为文化遗产和宗教圣地，保证与受影响社区协商以确保其价值。</w:t>
      </w:r>
    </w:p>
    <w:p w14:paraId="455B310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6.如项目需要重新安置，按照法律法规、客户和铝业管理倡议（ASI）要求制定重新安置计划。</w:t>
      </w:r>
    </w:p>
    <w:p w14:paraId="567488B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7.保证促进劳资双方的关系，鼓励并保护员工积极参与公司各项事务。</w:t>
      </w:r>
    </w:p>
    <w:p w14:paraId="4FAEF1D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8.尊重员工的集体谈判和协商权利，每年定期和员工进行集体协商。</w:t>
      </w:r>
    </w:p>
    <w:p w14:paraId="0581630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9.为员工提供合理的报酬及安全舒适的工作环境。</w:t>
      </w:r>
    </w:p>
    <w:p w14:paraId="4FC1092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10.符合中华人民共和国劳动法的要求，并在此基础上依公司业务状况持续改善员工福利。</w:t>
      </w:r>
    </w:p>
    <w:p w14:paraId="3B887EB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11.不使用冲突和高风险地区的产品或服务。</w:t>
      </w:r>
    </w:p>
    <w:p w14:paraId="7E7348F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12.保证安保人员在尊重人权的原则下保护人员、财产或资产。</w:t>
      </w:r>
    </w:p>
    <w:p w14:paraId="27C314E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13.保证遵守国家的环保法规，最大限度的减少对环境的影响，并将公司环保方针告知内外部相关方。</w:t>
      </w:r>
    </w:p>
    <w:p w14:paraId="0206C93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14.保证公司的可持续发展情况透明化并及时与内外部进行沟通。</w:t>
      </w:r>
    </w:p>
    <w:p w14:paraId="596182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15.定期与社区沟通，尊重和提供支持社区生计的机会。</w:t>
      </w:r>
    </w:p>
    <w:p w14:paraId="0CC8A10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16.支持负责任的采矿、精炼和冶炼实践。</w:t>
      </w:r>
    </w:p>
    <w:p w14:paraId="07D6268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lang w:eastAsia="zh-CN"/>
        </w:rPr>
        <w:t>12</w:t>
      </w:r>
      <w:r>
        <w:rPr>
          <w:rFonts w:hint="eastAsia" w:ascii="宋体" w:hAnsi="宋体" w:eastAsia="宋体" w:cs="宋体"/>
          <w:sz w:val="24"/>
        </w:rPr>
        <w:t>.支持铝的负责任回收和铝的管理。</w:t>
      </w:r>
    </w:p>
    <w:p w14:paraId="3D91614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lang w:eastAsia="zh-CN"/>
        </w:rPr>
        <w:t>12</w:t>
      </w:r>
      <w:r>
        <w:rPr>
          <w:rFonts w:hint="eastAsia" w:ascii="宋体" w:hAnsi="宋体" w:eastAsia="宋体" w:cs="宋体"/>
          <w:sz w:val="24"/>
        </w:rPr>
        <w:t>.对供应链进行尽职调查，防止他方滥用承诺。</w:t>
      </w:r>
    </w:p>
    <w:p w14:paraId="0D4E0F9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drawing>
          <wp:anchor distT="0" distB="0" distL="114300" distR="114300" simplePos="0" relativeHeight="251672576" behindDoc="0" locked="0" layoutInCell="1" allowOverlap="1">
            <wp:simplePos x="0" y="0"/>
            <wp:positionH relativeFrom="column">
              <wp:posOffset>4645660</wp:posOffset>
            </wp:positionH>
            <wp:positionV relativeFrom="paragraph">
              <wp:posOffset>210820</wp:posOffset>
            </wp:positionV>
            <wp:extent cx="835025" cy="601980"/>
            <wp:effectExtent l="0" t="0" r="3175" b="7620"/>
            <wp:wrapSquare wrapText="bothSides"/>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11"/>
                    <a:stretch>
                      <a:fillRect/>
                    </a:stretch>
                  </pic:blipFill>
                  <pic:spPr>
                    <a:xfrm>
                      <a:off x="0" y="0"/>
                      <a:ext cx="835025" cy="601980"/>
                    </a:xfrm>
                    <a:prstGeom prst="rect">
                      <a:avLst/>
                    </a:prstGeom>
                    <a:noFill/>
                    <a:ln w="9525">
                      <a:noFill/>
                    </a:ln>
                  </pic:spPr>
                </pic:pic>
              </a:graphicData>
            </a:graphic>
          </wp:anchor>
        </w:drawing>
      </w:r>
      <w:r>
        <w:rPr>
          <w:rFonts w:hint="eastAsia" w:ascii="宋体" w:hAnsi="宋体" w:eastAsia="宋体" w:cs="宋体"/>
          <w:sz w:val="24"/>
        </w:rPr>
        <w:t>19.获得关于铝持续性指标的可靠数据，保持公开公正的声明和沟通。</w:t>
      </w:r>
    </w:p>
    <w:p w14:paraId="6C259AC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p>
    <w:p w14:paraId="21281C41">
      <w:pPr>
        <w:keepNext w:val="0"/>
        <w:keepLines w:val="0"/>
        <w:pageBreakBefore w:val="0"/>
        <w:widowControl w:val="0"/>
        <w:kinsoku/>
        <w:wordWrap/>
        <w:overflowPunct/>
        <w:topLinePunct w:val="0"/>
        <w:autoSpaceDE/>
        <w:autoSpaceDN/>
        <w:bidi w:val="0"/>
        <w:adjustRightInd/>
        <w:snapToGrid/>
        <w:spacing w:line="360" w:lineRule="auto"/>
        <w:ind w:firstLine="6240" w:firstLineChars="2600"/>
        <w:textAlignment w:val="auto"/>
        <w:rPr>
          <w:rFonts w:hint="eastAsia" w:ascii="宋体" w:hAnsi="宋体" w:eastAsia="宋体" w:cs="宋体"/>
          <w:sz w:val="24"/>
          <w:highlight w:val="none"/>
        </w:rPr>
      </w:pPr>
      <w:r>
        <w:rPr>
          <w:rFonts w:hint="eastAsia" w:ascii="宋体" w:hAnsi="宋体" w:eastAsia="宋体" w:cs="宋体"/>
          <w:sz w:val="24"/>
          <w:highlight w:val="none"/>
        </w:rPr>
        <w:t>总经理：</w:t>
      </w:r>
    </w:p>
    <w:p w14:paraId="529FB093">
      <w:pPr>
        <w:pStyle w:val="25"/>
        <w:spacing w:before="0" w:after="0" w:line="360" w:lineRule="auto"/>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highlight w:val="none"/>
          <w:lang w:val="en-US" w:eastAsia="zh-CN"/>
        </w:rPr>
        <w:t xml:space="preserve">                                                   日 期：2024年01月01日</w:t>
      </w:r>
      <w:r>
        <w:rPr>
          <w:rFonts w:ascii="Times New Roman" w:hAnsi="Times New Roman" w:cs="Times New Roman" w:eastAsiaTheme="minorEastAsia"/>
          <w:sz w:val="24"/>
          <w:szCs w:val="24"/>
        </w:rPr>
        <w:br w:type="page"/>
      </w:r>
      <w:bookmarkStart w:id="13" w:name="_Toc25736"/>
      <w:r>
        <w:rPr>
          <w:rFonts w:hint="eastAsia" w:ascii="微软雅黑" w:hAnsi="微软雅黑" w:eastAsia="微软雅黑" w:cs="微软雅黑"/>
          <w:sz w:val="30"/>
          <w:szCs w:val="30"/>
        </w:rPr>
        <w:t>0.4管理者代表任命书</w:t>
      </w:r>
      <w:bookmarkEnd w:id="13"/>
    </w:p>
    <w:p w14:paraId="301EA156">
      <w:pPr>
        <w:keepNext w:val="0"/>
        <w:keepLines w:val="0"/>
        <w:pageBreakBefore w:val="0"/>
        <w:widowControl w:val="0"/>
        <w:kinsoku/>
        <w:wordWrap/>
        <w:overflowPunct/>
        <w:topLinePunct w:val="0"/>
        <w:autoSpaceDE/>
        <w:autoSpaceDN/>
        <w:bidi w:val="0"/>
        <w:adjustRightInd/>
        <w:snapToGrid/>
        <w:spacing w:line="360" w:lineRule="auto"/>
        <w:ind w:left="719" w:leftChars="228" w:hanging="240" w:hangingChars="100"/>
        <w:textAlignment w:val="auto"/>
        <w:rPr>
          <w:rFonts w:hint="eastAsia" w:ascii="宋体" w:hAnsi="宋体" w:eastAsia="宋体" w:cs="宋体"/>
          <w:sz w:val="24"/>
        </w:rPr>
      </w:pPr>
      <w:r>
        <w:rPr>
          <w:rFonts w:hint="eastAsia" w:ascii="宋体" w:hAnsi="宋体" w:eastAsia="宋体" w:cs="宋体"/>
          <w:sz w:val="24"/>
        </w:rPr>
        <w:t>为了贯彻执行ASI体系要求，授权其负责本公司ASI体系的实施和保持，特任命</w:t>
      </w:r>
      <w:r>
        <w:rPr>
          <w:rFonts w:hint="eastAsia" w:ascii="宋体" w:hAnsi="宋体" w:eastAsia="宋体" w:cs="宋体"/>
          <w:b/>
          <w:sz w:val="24"/>
          <w:u w:val="single"/>
        </w:rPr>
        <w:t xml:space="preserve">     </w:t>
      </w:r>
      <w:r>
        <w:rPr>
          <w:rFonts w:hint="eastAsia" w:ascii="宋体" w:hAnsi="宋体" w:cs="宋体"/>
          <w:b/>
          <w:sz w:val="24"/>
          <w:highlight w:val="none"/>
          <w:u w:val="single"/>
          <w:lang w:val="en-US" w:eastAsia="zh-CN"/>
        </w:rPr>
        <w:t>余芳</w:t>
      </w:r>
      <w:r>
        <w:rPr>
          <w:rFonts w:hint="eastAsia" w:ascii="宋体" w:hAnsi="宋体" w:eastAsia="宋体" w:cs="宋体"/>
          <w:sz w:val="24"/>
        </w:rPr>
        <w:t>同志为公司管理者代表。</w:t>
      </w:r>
    </w:p>
    <w:p w14:paraId="2220242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作为管理者代表，其在ASI体系方面的作用、职责和权限如下：</w:t>
      </w:r>
    </w:p>
    <w:p w14:paraId="3F1878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1.提出公司ASI体系的相关决策建议；</w:t>
      </w:r>
    </w:p>
    <w:p w14:paraId="28C3274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2.负责ASI体系的建立、推行和维护；</w:t>
      </w:r>
    </w:p>
    <w:p w14:paraId="61C789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3.负责向总经理报告ASI体系的运行情况和改进需求；</w:t>
      </w:r>
    </w:p>
    <w:p w14:paraId="3F00DBC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4.统筹落实ASI体系对劳工权益、环境、职业健康安全和监管链的要求；</w:t>
      </w:r>
    </w:p>
    <w:p w14:paraId="1EFBF1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5.负责ASI体系有关事宜的内、外部联络与沟通；</w:t>
      </w:r>
    </w:p>
    <w:p w14:paraId="4268D84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6.贯彻ASI体系要求，达成公司预定的政策和目标。</w:t>
      </w:r>
    </w:p>
    <w:p w14:paraId="33E4C98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p>
    <w:p w14:paraId="6B134E2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p>
    <w:p w14:paraId="5EAA046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p>
    <w:p w14:paraId="3B780CA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highlight w:val="none"/>
        </w:rPr>
        <w:drawing>
          <wp:anchor distT="0" distB="0" distL="114300" distR="114300" simplePos="0" relativeHeight="251674624" behindDoc="0" locked="0" layoutInCell="1" allowOverlap="1">
            <wp:simplePos x="0" y="0"/>
            <wp:positionH relativeFrom="column">
              <wp:posOffset>4114800</wp:posOffset>
            </wp:positionH>
            <wp:positionV relativeFrom="paragraph">
              <wp:posOffset>179705</wp:posOffset>
            </wp:positionV>
            <wp:extent cx="1088390" cy="784860"/>
            <wp:effectExtent l="0" t="0" r="8890" b="7620"/>
            <wp:wrapSquare wrapText="bothSides"/>
            <wp:docPr id="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pic:cNvPicPr>
                      <a:picLocks noChangeAspect="1"/>
                    </pic:cNvPicPr>
                  </pic:nvPicPr>
                  <pic:blipFill>
                    <a:blip r:embed="rId11"/>
                    <a:stretch>
                      <a:fillRect/>
                    </a:stretch>
                  </pic:blipFill>
                  <pic:spPr>
                    <a:xfrm>
                      <a:off x="0" y="0"/>
                      <a:ext cx="1088390" cy="784860"/>
                    </a:xfrm>
                    <a:prstGeom prst="rect">
                      <a:avLst/>
                    </a:prstGeom>
                    <a:noFill/>
                    <a:ln w="9525">
                      <a:noFill/>
                    </a:ln>
                  </pic:spPr>
                </pic:pic>
              </a:graphicData>
            </a:graphic>
          </wp:anchor>
        </w:drawing>
      </w:r>
    </w:p>
    <w:p w14:paraId="078B559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highlight w:val="none"/>
        </w:rPr>
      </w:pPr>
    </w:p>
    <w:p w14:paraId="075E53CD">
      <w:pPr>
        <w:keepNext w:val="0"/>
        <w:keepLines w:val="0"/>
        <w:pageBreakBefore w:val="0"/>
        <w:widowControl w:val="0"/>
        <w:kinsoku/>
        <w:wordWrap/>
        <w:overflowPunct/>
        <w:topLinePunct w:val="0"/>
        <w:autoSpaceDE/>
        <w:autoSpaceDN/>
        <w:bidi w:val="0"/>
        <w:adjustRightInd/>
        <w:snapToGrid/>
        <w:spacing w:line="360" w:lineRule="auto"/>
        <w:ind w:firstLine="5280" w:firstLineChars="2200"/>
        <w:textAlignment w:val="auto"/>
        <w:rPr>
          <w:rFonts w:hint="eastAsia" w:ascii="宋体" w:hAnsi="宋体" w:eastAsia="宋体" w:cs="宋体"/>
          <w:sz w:val="24"/>
          <w:highlight w:val="none"/>
        </w:rPr>
      </w:pPr>
      <w:r>
        <w:rPr>
          <w:rFonts w:hint="eastAsia" w:ascii="宋体" w:hAnsi="宋体" w:eastAsia="宋体" w:cs="宋体"/>
          <w:sz w:val="24"/>
          <w:highlight w:val="none"/>
        </w:rPr>
        <w:t>总经理：</w:t>
      </w:r>
    </w:p>
    <w:p w14:paraId="293ACE62">
      <w:pPr>
        <w:keepNext w:val="0"/>
        <w:keepLines w:val="0"/>
        <w:pageBreakBefore w:val="0"/>
        <w:widowControl w:val="0"/>
        <w:kinsoku/>
        <w:wordWrap/>
        <w:overflowPunct/>
        <w:topLinePunct w:val="0"/>
        <w:autoSpaceDE/>
        <w:autoSpaceDN/>
        <w:bidi w:val="0"/>
        <w:adjustRightInd/>
        <w:snapToGrid/>
        <w:spacing w:line="360" w:lineRule="auto"/>
        <w:ind w:firstLine="5280" w:firstLineChars="2200"/>
        <w:textAlignment w:val="auto"/>
        <w:rPr>
          <w:rFonts w:hint="eastAsia" w:ascii="宋体" w:hAnsi="宋体" w:eastAsia="宋体" w:cs="宋体"/>
          <w:sz w:val="24"/>
          <w:highlight w:val="none"/>
        </w:rPr>
      </w:pPr>
    </w:p>
    <w:p w14:paraId="1B1DB403">
      <w:pPr>
        <w:keepNext w:val="0"/>
        <w:keepLines w:val="0"/>
        <w:pageBreakBefore w:val="0"/>
        <w:widowControl w:val="0"/>
        <w:kinsoku/>
        <w:wordWrap/>
        <w:overflowPunct/>
        <w:topLinePunct w:val="0"/>
        <w:autoSpaceDE/>
        <w:autoSpaceDN/>
        <w:bidi w:val="0"/>
        <w:adjustRightInd/>
        <w:snapToGrid/>
        <w:spacing w:line="360" w:lineRule="auto"/>
        <w:ind w:firstLine="5280" w:firstLineChars="2200"/>
        <w:textAlignment w:val="auto"/>
        <w:rPr>
          <w:rFonts w:hint="default" w:ascii="宋体" w:hAnsi="宋体" w:eastAsia="宋体" w:cs="宋体"/>
          <w:sz w:val="24"/>
          <w:highlight w:val="none"/>
          <w:lang w:val="en-US" w:eastAsia="zh-CN"/>
        </w:rPr>
      </w:pPr>
      <w:r>
        <w:rPr>
          <w:rFonts w:hint="eastAsia" w:ascii="宋体" w:hAnsi="宋体" w:cs="宋体"/>
          <w:sz w:val="24"/>
          <w:highlight w:val="none"/>
          <w:lang w:val="en-US" w:eastAsia="zh-CN"/>
        </w:rPr>
        <w:t>日期：2024年01月01日</w:t>
      </w:r>
    </w:p>
    <w:p w14:paraId="48C194D2">
      <w:pPr>
        <w:pStyle w:val="25"/>
        <w:spacing w:before="0" w:after="0" w:line="360" w:lineRule="auto"/>
        <w:rPr>
          <w:rFonts w:hint="eastAsia" w:ascii="微软雅黑" w:hAnsi="微软雅黑" w:eastAsia="微软雅黑" w:cs="微软雅黑"/>
          <w:sz w:val="30"/>
          <w:szCs w:val="30"/>
        </w:rPr>
      </w:pPr>
      <w:r>
        <w:rPr>
          <w:rFonts w:hint="eastAsia" w:ascii="Times New Roman" w:hAnsi="Times New Roman" w:cs="Times New Roman" w:eastAsiaTheme="minorEastAsia"/>
          <w:sz w:val="24"/>
          <w:szCs w:val="24"/>
          <w:lang w:val="en-US" w:eastAsia="zh-CN"/>
        </w:rPr>
        <w:t xml:space="preserve">                                          </w:t>
      </w:r>
      <w:r>
        <w:rPr>
          <w:rFonts w:ascii="Times New Roman" w:hAnsi="Times New Roman" w:cs="Times New Roman" w:eastAsiaTheme="minorEastAsia"/>
          <w:sz w:val="24"/>
          <w:szCs w:val="24"/>
        </w:rPr>
        <w:br w:type="page"/>
      </w:r>
      <w:bookmarkStart w:id="14" w:name="_Toc11339"/>
      <w:r>
        <w:rPr>
          <w:rFonts w:hint="eastAsia" w:ascii="微软雅黑" w:hAnsi="微软雅黑" w:eastAsia="微软雅黑" w:cs="微软雅黑"/>
          <w:sz w:val="30"/>
          <w:szCs w:val="30"/>
        </w:rPr>
        <w:t>0.5ASI管理体系方针</w:t>
      </w:r>
      <w:bookmarkEnd w:id="14"/>
    </w:p>
    <w:p w14:paraId="04D04F8A">
      <w:pPr>
        <w:spacing w:line="360" w:lineRule="auto"/>
        <w:jc w:val="center"/>
        <w:rPr>
          <w:rFonts w:eastAsiaTheme="minorEastAsia"/>
          <w:sz w:val="24"/>
        </w:rPr>
      </w:pPr>
      <w:r>
        <w:rPr>
          <w:rFonts w:eastAsiaTheme="minorEastAsia"/>
          <w:sz w:val="24"/>
        </w:rPr>
        <w:t>注重循环低碳，降低环境污染；追求持续发展，创造美好家园；</w:t>
      </w:r>
    </w:p>
    <w:p w14:paraId="468820E6">
      <w:pPr>
        <w:spacing w:line="360" w:lineRule="auto"/>
        <w:jc w:val="center"/>
        <w:rPr>
          <w:rFonts w:eastAsiaTheme="minorEastAsia"/>
          <w:sz w:val="24"/>
        </w:rPr>
      </w:pPr>
      <w:r>
        <w:rPr>
          <w:rFonts w:eastAsiaTheme="minorEastAsia"/>
          <w:sz w:val="24"/>
        </w:rPr>
        <w:t>肩负社会责任，稳定和谐发展；遵守国家法律，安全文明生产；</w:t>
      </w:r>
    </w:p>
    <w:p w14:paraId="6F62E122">
      <w:pPr>
        <w:spacing w:line="360" w:lineRule="auto"/>
        <w:jc w:val="center"/>
        <w:rPr>
          <w:rFonts w:eastAsiaTheme="minorEastAsia"/>
          <w:sz w:val="24"/>
        </w:rPr>
      </w:pPr>
      <w:r>
        <w:rPr>
          <w:rFonts w:eastAsiaTheme="minorEastAsia"/>
          <w:sz w:val="24"/>
        </w:rPr>
        <w:t>夯实管理基础，提高工作时效；规范操作标准，实现健康安全；</w:t>
      </w:r>
    </w:p>
    <w:p w14:paraId="7066E3F9">
      <w:pPr>
        <w:spacing w:line="360" w:lineRule="auto"/>
        <w:jc w:val="center"/>
        <w:rPr>
          <w:rFonts w:eastAsiaTheme="minorEastAsia"/>
          <w:sz w:val="24"/>
        </w:rPr>
      </w:pPr>
      <w:r>
        <w:rPr>
          <w:rFonts w:eastAsiaTheme="minorEastAsia"/>
          <w:sz w:val="24"/>
        </w:rPr>
        <w:t>公正公开透明，降低经营风险；实施持续改进，创建一流企业。</w:t>
      </w:r>
    </w:p>
    <w:p w14:paraId="3644BE72">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方针释义：</w:t>
      </w:r>
    </w:p>
    <w:p w14:paraId="064ADFFA">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一、环境</w:t>
      </w:r>
      <w:r>
        <w:rPr>
          <w:rFonts w:hint="eastAsia" w:ascii="宋体" w:hAnsi="宋体" w:eastAsia="宋体" w:cs="宋体"/>
          <w:sz w:val="24"/>
          <w:lang w:val="en-US" w:eastAsia="zh-CN"/>
        </w:rPr>
        <w:t>管理</w:t>
      </w:r>
      <w:r>
        <w:rPr>
          <w:rFonts w:hint="eastAsia" w:ascii="宋体" w:hAnsi="宋体" w:eastAsia="宋体" w:cs="宋体"/>
          <w:sz w:val="24"/>
        </w:rPr>
        <w:t>方面</w:t>
      </w:r>
    </w:p>
    <w:p w14:paraId="017F3505">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1、致力于使用本身的无毒无害原物料，并促使能源和供应商在原物料和能源产品的制备和运输过程中，减少对环境的影响；</w:t>
      </w:r>
    </w:p>
    <w:p w14:paraId="0821A0F7">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2、致力于减少公司生产过程中所能够控制的各个环境，降低污染物的产生和排放，降低能源物质的消耗；</w:t>
      </w:r>
    </w:p>
    <w:p w14:paraId="0D28D44A">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3、致力于对产生的废弃物和废料的循环使用。</w:t>
      </w:r>
    </w:p>
    <w:p w14:paraId="7264CE78">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二、社会</w:t>
      </w:r>
      <w:r>
        <w:rPr>
          <w:rFonts w:hint="eastAsia" w:ascii="宋体" w:hAnsi="宋体" w:eastAsia="宋体" w:cs="宋体"/>
          <w:sz w:val="24"/>
          <w:lang w:val="en-US" w:eastAsia="zh-CN"/>
        </w:rPr>
        <w:t>责任</w:t>
      </w:r>
      <w:r>
        <w:rPr>
          <w:rFonts w:hint="eastAsia" w:ascii="宋体" w:hAnsi="宋体" w:eastAsia="宋体" w:cs="宋体"/>
          <w:sz w:val="24"/>
        </w:rPr>
        <w:t>方面</w:t>
      </w:r>
    </w:p>
    <w:p w14:paraId="2051C0E7">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1、全力遵从国家劳动和社会保证的法律法规要求；</w:t>
      </w:r>
    </w:p>
    <w:p w14:paraId="7B621DFA">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2、满足客户及商业行为守则的标准要求；</w:t>
      </w:r>
    </w:p>
    <w:p w14:paraId="7E250BA2">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3、不断完善社会责任的实行和承诺；</w:t>
      </w:r>
    </w:p>
    <w:p w14:paraId="6E3C43F4">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4、尊重员工的人权，保障员工的劳动权益；</w:t>
      </w:r>
    </w:p>
    <w:p w14:paraId="1907DC75">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5、尊重社会各界利益相关的权益。</w:t>
      </w:r>
    </w:p>
    <w:p w14:paraId="09844C4B">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6、对铝的来源负责；不对冲突地区或高风险地区的武装冲突或侵犯人权行为提供支持；</w:t>
      </w:r>
    </w:p>
    <w:p w14:paraId="5DA12EDF">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三、公司治理方面</w:t>
      </w:r>
    </w:p>
    <w:p w14:paraId="0B900DF6">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1、建立透明、公正和高效的管理机制；</w:t>
      </w:r>
    </w:p>
    <w:p w14:paraId="30744DE4">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2、守法经营，健康发展，公平竞争，遵守市场竞争机制；</w:t>
      </w:r>
    </w:p>
    <w:p w14:paraId="78DCEE27">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3、反对一切形式的腐败；</w:t>
      </w:r>
    </w:p>
    <w:p w14:paraId="4EA95590">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4、健全公司的管理系统，提高企业运作效率。</w:t>
      </w:r>
    </w:p>
    <w:p w14:paraId="02199031">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公司要求全体员工认真学习领会ASI 方针，深入贯彻执行。</w:t>
      </w:r>
    </w:p>
    <w:p w14:paraId="74432D8A">
      <w:pPr>
        <w:spacing w:line="360" w:lineRule="auto"/>
        <w:rPr>
          <w:rFonts w:hint="eastAsia" w:ascii="宋体" w:hAnsi="宋体" w:eastAsia="宋体" w:cs="宋体"/>
          <w:sz w:val="24"/>
        </w:rPr>
      </w:pPr>
    </w:p>
    <w:p w14:paraId="5036F7F9">
      <w:pPr>
        <w:spacing w:line="360" w:lineRule="auto"/>
        <w:rPr>
          <w:rFonts w:eastAsiaTheme="minorEastAsia"/>
          <w:sz w:val="24"/>
        </w:rPr>
      </w:pPr>
    </w:p>
    <w:p w14:paraId="67D3FA93">
      <w:pPr>
        <w:spacing w:line="360" w:lineRule="auto"/>
        <w:rPr>
          <w:rFonts w:eastAsiaTheme="minorEastAsia"/>
          <w:sz w:val="24"/>
        </w:rPr>
      </w:pPr>
    </w:p>
    <w:p w14:paraId="7470947F">
      <w:pPr>
        <w:spacing w:line="360" w:lineRule="auto"/>
        <w:rPr>
          <w:rFonts w:eastAsiaTheme="minorEastAsia"/>
          <w:sz w:val="24"/>
        </w:rPr>
      </w:pPr>
    </w:p>
    <w:p w14:paraId="48DAEF85">
      <w:pPr>
        <w:pStyle w:val="25"/>
        <w:spacing w:before="0" w:after="0" w:line="360" w:lineRule="auto"/>
        <w:outlineLvl w:val="9"/>
        <w:rPr>
          <w:rFonts w:ascii="Times New Roman" w:hAnsi="Times New Roman" w:cs="Times New Roman" w:eastAsiaTheme="minorEastAsia"/>
          <w:sz w:val="24"/>
          <w:szCs w:val="24"/>
        </w:rPr>
        <w:sectPr>
          <w:pgSz w:w="11907" w:h="16840"/>
          <w:pgMar w:top="1377" w:right="1418" w:bottom="963" w:left="1418" w:header="737" w:footer="737" w:gutter="0"/>
          <w:cols w:space="425" w:num="1"/>
          <w:docGrid w:linePitch="312" w:charSpace="0"/>
        </w:sectPr>
      </w:pPr>
    </w:p>
    <w:p w14:paraId="58C71A67">
      <w:pPr>
        <w:pStyle w:val="25"/>
        <w:spacing w:before="0" w:after="0" w:line="360" w:lineRule="auto"/>
        <w:rPr>
          <w:rFonts w:hint="eastAsia" w:ascii="微软雅黑" w:hAnsi="微软雅黑" w:eastAsia="微软雅黑" w:cs="微软雅黑"/>
          <w:sz w:val="30"/>
          <w:szCs w:val="30"/>
        </w:rPr>
      </w:pPr>
      <w:bookmarkStart w:id="15" w:name="_Toc11182"/>
      <w:r>
        <w:rPr>
          <w:rFonts w:hint="eastAsia" w:ascii="微软雅黑" w:hAnsi="微软雅黑" w:eastAsia="微软雅黑" w:cs="微软雅黑"/>
          <w:sz w:val="30"/>
          <w:szCs w:val="30"/>
        </w:rPr>
        <w:t>0.6ASI管理</w:t>
      </w:r>
      <w:r>
        <w:rPr>
          <w:rFonts w:hint="eastAsia" w:ascii="微软雅黑" w:hAnsi="微软雅黑" w:eastAsia="微软雅黑" w:cs="微软雅黑"/>
          <w:sz w:val="30"/>
          <w:szCs w:val="30"/>
          <w:lang w:val="en-US" w:eastAsia="zh-CN"/>
        </w:rPr>
        <w:t>体系</w:t>
      </w:r>
      <w:r>
        <w:rPr>
          <w:rFonts w:hint="eastAsia" w:ascii="微软雅黑" w:hAnsi="微软雅黑" w:eastAsia="微软雅黑" w:cs="微软雅黑"/>
          <w:sz w:val="30"/>
          <w:szCs w:val="30"/>
        </w:rPr>
        <w:t>目标</w:t>
      </w:r>
      <w:bookmarkEnd w:id="15"/>
    </w:p>
    <w:p w14:paraId="3BCAE3BC">
      <w:pPr>
        <w:keepNext w:val="0"/>
        <w:keepLines w:val="0"/>
        <w:pageBreakBefore w:val="0"/>
        <w:widowControl w:val="0"/>
        <w:kinsoku/>
        <w:wordWrap/>
        <w:overflowPunct/>
        <w:topLinePunct w:val="0"/>
        <w:autoSpaceDE/>
        <w:autoSpaceDN/>
        <w:bidi w:val="0"/>
        <w:adjustRightInd/>
        <w:snapToGrid/>
        <w:spacing w:after="93" w:afterLines="30" w:line="360" w:lineRule="auto"/>
        <w:textAlignment w:val="auto"/>
        <w:rPr>
          <w:rFonts w:hint="eastAsia" w:ascii="宋体" w:hAnsi="宋体" w:eastAsia="宋体" w:cs="宋体"/>
          <w:b/>
          <w:sz w:val="24"/>
          <w:szCs w:val="24"/>
        </w:rPr>
      </w:pPr>
    </w:p>
    <w:p w14:paraId="3DCA5A38">
      <w:pPr>
        <w:keepNext w:val="0"/>
        <w:keepLines w:val="0"/>
        <w:pageBreakBefore w:val="0"/>
        <w:widowControl w:val="0"/>
        <w:kinsoku/>
        <w:wordWrap/>
        <w:overflowPunct/>
        <w:topLinePunct w:val="0"/>
        <w:autoSpaceDE/>
        <w:autoSpaceDN/>
        <w:bidi w:val="0"/>
        <w:adjustRightInd/>
        <w:snapToGrid/>
        <w:spacing w:after="93" w:afterLines="30" w:line="360" w:lineRule="auto"/>
        <w:textAlignment w:val="auto"/>
        <w:rPr>
          <w:rFonts w:hint="eastAsia" w:ascii="宋体" w:hAnsi="宋体" w:eastAsia="宋体" w:cs="宋体"/>
          <w:b/>
          <w:sz w:val="24"/>
          <w:szCs w:val="24"/>
        </w:rPr>
      </w:pPr>
      <w:r>
        <w:rPr>
          <w:rFonts w:hint="eastAsia" w:ascii="宋体" w:hAnsi="宋体" w:eastAsia="宋体" w:cs="宋体"/>
          <w:b/>
          <w:sz w:val="24"/>
          <w:szCs w:val="24"/>
        </w:rPr>
        <w:t>管理</w:t>
      </w:r>
      <w:r>
        <w:rPr>
          <w:rFonts w:hint="eastAsia" w:ascii="宋体" w:hAnsi="宋体" w:eastAsia="宋体" w:cs="宋体"/>
          <w:b/>
          <w:sz w:val="24"/>
          <w:szCs w:val="24"/>
          <w:lang w:val="en-US" w:eastAsia="zh-CN"/>
        </w:rPr>
        <w:t>体系</w:t>
      </w:r>
      <w:r>
        <w:rPr>
          <w:rFonts w:hint="eastAsia" w:ascii="宋体" w:hAnsi="宋体" w:eastAsia="宋体" w:cs="宋体"/>
          <w:b/>
          <w:sz w:val="24"/>
          <w:szCs w:val="24"/>
        </w:rPr>
        <w:t>目标</w:t>
      </w:r>
    </w:p>
    <w:p w14:paraId="1D3B784C">
      <w:pPr>
        <w:keepNext w:val="0"/>
        <w:keepLines w:val="0"/>
        <w:pageBreakBefore w:val="0"/>
        <w:widowControl w:val="0"/>
        <w:kinsoku/>
        <w:wordWrap/>
        <w:overflowPunct/>
        <w:topLinePunct w:val="0"/>
        <w:autoSpaceDE/>
        <w:autoSpaceDN/>
        <w:bidi w:val="0"/>
        <w:adjustRightInd/>
        <w:snapToGrid/>
        <w:spacing w:after="93" w:afterLines="3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公司ASI体系目标</w:t>
      </w:r>
      <w:r>
        <w:rPr>
          <w:rFonts w:hint="eastAsia" w:ascii="宋体" w:hAnsi="宋体" w:cs="宋体"/>
          <w:sz w:val="24"/>
          <w:szCs w:val="24"/>
          <w:lang w:val="en-US" w:eastAsia="zh-CN"/>
        </w:rPr>
        <w:t>详见手册</w:t>
      </w:r>
      <w:r>
        <w:rPr>
          <w:rFonts w:hint="eastAsia" w:ascii="宋体" w:hAnsi="宋体" w:cs="宋体"/>
          <w:b/>
          <w:bCs/>
          <w:sz w:val="24"/>
          <w:szCs w:val="24"/>
          <w:lang w:val="en-US" w:eastAsia="zh-CN"/>
        </w:rPr>
        <w:t>附件1</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2024</w:t>
      </w:r>
      <w:r>
        <w:rPr>
          <w:rFonts w:hint="eastAsia" w:ascii="宋体" w:hAnsi="宋体" w:eastAsia="宋体" w:cs="宋体"/>
          <w:b/>
          <w:bCs/>
          <w:color w:val="auto"/>
          <w:sz w:val="24"/>
          <w:szCs w:val="24"/>
        </w:rPr>
        <w:t>年管理目标及分解表》</w:t>
      </w:r>
      <w:r>
        <w:rPr>
          <w:rFonts w:hint="eastAsia" w:ascii="宋体" w:hAnsi="宋体" w:eastAsia="宋体" w:cs="宋体"/>
          <w:sz w:val="24"/>
          <w:szCs w:val="24"/>
        </w:rPr>
        <w:t>，经公司最高管理者批准后实施。质量目标的制定要求与方针一致，并可测量。</w:t>
      </w:r>
    </w:p>
    <w:p w14:paraId="4DA28E46">
      <w:pPr>
        <w:spacing w:line="360" w:lineRule="auto"/>
        <w:ind w:firstLine="482"/>
        <w:jc w:val="center"/>
        <w:rPr>
          <w:rFonts w:hint="eastAsia" w:ascii="宋体" w:hAnsi="宋体" w:cs="宋体"/>
          <w:b/>
          <w:bCs/>
          <w:sz w:val="24"/>
        </w:rPr>
      </w:pPr>
    </w:p>
    <w:p w14:paraId="668760DB">
      <w:pPr>
        <w:spacing w:line="360" w:lineRule="auto"/>
        <w:ind w:firstLine="482"/>
        <w:jc w:val="center"/>
        <w:rPr>
          <w:rFonts w:hint="eastAsia" w:ascii="宋体" w:hAnsi="宋体" w:cs="宋体"/>
          <w:b/>
          <w:bCs/>
          <w:sz w:val="24"/>
          <w:lang w:val="en-US" w:eastAsia="zh-CN"/>
        </w:rPr>
      </w:pPr>
      <w:r>
        <w:rPr>
          <w:rFonts w:hint="eastAsia" w:ascii="宋体" w:hAnsi="宋体" w:cs="宋体"/>
          <w:b/>
          <w:bCs/>
          <w:sz w:val="24"/>
          <w:lang w:val="en-US" w:eastAsia="zh-CN"/>
        </w:rPr>
        <w:t xml:space="preserve">                      </w:t>
      </w:r>
    </w:p>
    <w:p w14:paraId="7DED5F28">
      <w:pPr>
        <w:spacing w:line="360" w:lineRule="auto"/>
        <w:ind w:firstLine="482"/>
        <w:jc w:val="center"/>
        <w:rPr>
          <w:rFonts w:hint="eastAsia" w:ascii="宋体" w:hAnsi="宋体" w:cs="宋体"/>
          <w:b/>
          <w:bCs/>
          <w:sz w:val="24"/>
          <w:lang w:val="en-US" w:eastAsia="zh-CN"/>
        </w:rPr>
      </w:pPr>
    </w:p>
    <w:p w14:paraId="0E095B4A">
      <w:pPr>
        <w:spacing w:line="360" w:lineRule="auto"/>
        <w:ind w:firstLine="482"/>
        <w:jc w:val="center"/>
        <w:rPr>
          <w:rFonts w:hint="eastAsia" w:ascii="宋体" w:hAnsi="宋体" w:cs="宋体"/>
          <w:b/>
          <w:bCs/>
          <w:sz w:val="24"/>
          <w:lang w:val="en-US" w:eastAsia="zh-CN"/>
        </w:rPr>
      </w:pPr>
    </w:p>
    <w:p w14:paraId="43EBF2BD">
      <w:pPr>
        <w:spacing w:line="360" w:lineRule="auto"/>
        <w:ind w:firstLine="482"/>
        <w:jc w:val="center"/>
        <w:rPr>
          <w:rFonts w:hint="eastAsia" w:ascii="宋体" w:hAnsi="宋体" w:cs="宋体"/>
          <w:b/>
          <w:bCs/>
          <w:sz w:val="24"/>
          <w:lang w:val="en-US" w:eastAsia="zh-CN"/>
        </w:rPr>
      </w:pPr>
    </w:p>
    <w:p w14:paraId="25022378">
      <w:pPr>
        <w:spacing w:line="360" w:lineRule="auto"/>
        <w:ind w:firstLine="482"/>
        <w:jc w:val="center"/>
        <w:rPr>
          <w:rFonts w:hint="eastAsia" w:ascii="宋体" w:hAnsi="宋体" w:cs="宋体"/>
          <w:b/>
          <w:bCs/>
          <w:sz w:val="24"/>
          <w:lang w:val="en-US" w:eastAsia="zh-CN"/>
        </w:rPr>
      </w:pPr>
    </w:p>
    <w:p w14:paraId="310DB5F2">
      <w:pPr>
        <w:spacing w:line="360" w:lineRule="auto"/>
        <w:ind w:firstLine="482"/>
        <w:jc w:val="center"/>
        <w:rPr>
          <w:rFonts w:hint="eastAsia" w:ascii="宋体" w:hAnsi="宋体" w:cs="宋体"/>
          <w:b/>
          <w:bCs/>
          <w:sz w:val="24"/>
          <w:lang w:val="en-US" w:eastAsia="zh-CN"/>
        </w:rPr>
      </w:pPr>
    </w:p>
    <w:p w14:paraId="40A9AADC">
      <w:pPr>
        <w:spacing w:line="360" w:lineRule="auto"/>
        <w:ind w:firstLine="482"/>
        <w:jc w:val="center"/>
        <w:rPr>
          <w:rFonts w:hint="eastAsia" w:ascii="宋体" w:hAnsi="宋体" w:cs="宋体"/>
          <w:b/>
          <w:bCs/>
          <w:sz w:val="24"/>
          <w:lang w:val="en-US" w:eastAsia="zh-CN"/>
        </w:rPr>
      </w:pPr>
    </w:p>
    <w:p w14:paraId="1BB308EF">
      <w:pPr>
        <w:spacing w:line="360" w:lineRule="auto"/>
        <w:ind w:firstLine="482"/>
        <w:jc w:val="center"/>
        <w:rPr>
          <w:rFonts w:hint="eastAsia" w:ascii="宋体" w:hAnsi="宋体" w:cs="宋体"/>
          <w:b/>
          <w:bCs/>
          <w:sz w:val="24"/>
          <w:lang w:val="en-US" w:eastAsia="zh-CN"/>
        </w:rPr>
      </w:pPr>
      <w:r>
        <w:rPr>
          <w:rFonts w:hint="eastAsia" w:ascii="宋体" w:hAnsi="宋体" w:cs="宋体"/>
          <w:b/>
          <w:bCs/>
          <w:sz w:val="24"/>
          <w:lang w:val="en-US" w:eastAsia="zh-CN"/>
        </w:rPr>
        <w:t xml:space="preserve">                      </w:t>
      </w:r>
    </w:p>
    <w:p w14:paraId="1278BF51">
      <w:pPr>
        <w:spacing w:line="360" w:lineRule="auto"/>
        <w:ind w:firstLine="482"/>
        <w:jc w:val="center"/>
        <w:rPr>
          <w:rFonts w:hint="eastAsia" w:ascii="宋体" w:hAnsi="宋体" w:cs="宋体"/>
          <w:b/>
          <w:bCs/>
          <w:sz w:val="24"/>
          <w:lang w:val="en-US" w:eastAsia="zh-CN"/>
        </w:rPr>
      </w:pPr>
    </w:p>
    <w:p w14:paraId="0DC2936A">
      <w:pPr>
        <w:spacing w:line="360" w:lineRule="auto"/>
        <w:ind w:firstLine="482"/>
        <w:jc w:val="center"/>
        <w:rPr>
          <w:rFonts w:hint="eastAsia" w:ascii="宋体" w:hAnsi="宋体" w:cs="宋体"/>
          <w:b/>
          <w:bCs/>
          <w:sz w:val="24"/>
          <w:lang w:val="en-US" w:eastAsia="zh-CN"/>
        </w:rPr>
      </w:pPr>
    </w:p>
    <w:p w14:paraId="43BC5A36">
      <w:pPr>
        <w:spacing w:line="360" w:lineRule="auto"/>
        <w:ind w:firstLine="482"/>
        <w:jc w:val="center"/>
        <w:rPr>
          <w:rFonts w:hint="eastAsia" w:ascii="宋体" w:hAnsi="宋体" w:cs="宋体"/>
          <w:b/>
          <w:bCs/>
          <w:sz w:val="24"/>
          <w:lang w:val="en-US" w:eastAsia="zh-CN"/>
        </w:rPr>
      </w:pPr>
    </w:p>
    <w:p w14:paraId="67BAF8D1">
      <w:pPr>
        <w:spacing w:line="360" w:lineRule="auto"/>
        <w:ind w:firstLine="482"/>
        <w:jc w:val="center"/>
        <w:rPr>
          <w:rFonts w:hint="eastAsia" w:ascii="宋体" w:hAnsi="宋体" w:cs="宋体"/>
          <w:b/>
          <w:bCs/>
          <w:sz w:val="24"/>
          <w:lang w:val="en-US" w:eastAsia="zh-CN"/>
        </w:rPr>
      </w:pPr>
    </w:p>
    <w:p w14:paraId="686EAF4F">
      <w:pPr>
        <w:spacing w:line="360" w:lineRule="auto"/>
        <w:ind w:firstLine="482"/>
        <w:jc w:val="center"/>
        <w:rPr>
          <w:rFonts w:hint="eastAsia" w:ascii="宋体" w:hAnsi="宋体" w:cs="宋体"/>
          <w:b/>
          <w:bCs/>
          <w:sz w:val="24"/>
          <w:lang w:val="en-US" w:eastAsia="zh-CN"/>
        </w:rPr>
      </w:pPr>
    </w:p>
    <w:p w14:paraId="45A5E9E4">
      <w:pPr>
        <w:spacing w:line="360" w:lineRule="auto"/>
        <w:ind w:firstLine="482"/>
        <w:jc w:val="center"/>
        <w:rPr>
          <w:rFonts w:hint="eastAsia" w:ascii="宋体" w:hAnsi="宋体" w:cs="宋体"/>
          <w:b/>
          <w:bCs/>
          <w:sz w:val="24"/>
          <w:lang w:val="en-US" w:eastAsia="zh-CN"/>
        </w:rPr>
      </w:pPr>
    </w:p>
    <w:p w14:paraId="07E0F213">
      <w:pPr>
        <w:spacing w:line="360" w:lineRule="auto"/>
        <w:ind w:firstLine="482"/>
        <w:jc w:val="center"/>
        <w:rPr>
          <w:rFonts w:hint="eastAsia" w:ascii="宋体" w:hAnsi="宋体" w:cs="宋体"/>
          <w:b/>
          <w:bCs/>
          <w:sz w:val="24"/>
          <w:lang w:val="en-US" w:eastAsia="zh-CN"/>
        </w:rPr>
      </w:pPr>
    </w:p>
    <w:p w14:paraId="04D77DE5">
      <w:pPr>
        <w:spacing w:line="360" w:lineRule="auto"/>
        <w:jc w:val="both"/>
        <w:rPr>
          <w:rFonts w:hint="eastAsia" w:ascii="宋体" w:hAnsi="宋体" w:cs="宋体"/>
          <w:b/>
          <w:bCs/>
          <w:sz w:val="24"/>
          <w:lang w:val="en-US" w:eastAsia="zh-CN"/>
        </w:rPr>
      </w:pPr>
    </w:p>
    <w:p w14:paraId="05A30B03">
      <w:pPr>
        <w:pStyle w:val="25"/>
        <w:spacing w:before="0" w:after="0" w:line="360" w:lineRule="auto"/>
        <w:jc w:val="center"/>
        <w:outlineLvl w:val="9"/>
        <w:rPr>
          <w:rFonts w:hint="eastAsia" w:ascii="微软雅黑" w:hAnsi="微软雅黑" w:eastAsia="微软雅黑" w:cs="微软雅黑"/>
          <w:sz w:val="30"/>
          <w:szCs w:val="30"/>
        </w:rPr>
      </w:pPr>
    </w:p>
    <w:p w14:paraId="527EF5A0">
      <w:pPr>
        <w:pStyle w:val="25"/>
        <w:spacing w:before="0" w:after="0" w:line="360" w:lineRule="auto"/>
        <w:jc w:val="center"/>
        <w:outlineLvl w:val="9"/>
        <w:rPr>
          <w:rFonts w:hint="eastAsia" w:ascii="微软雅黑" w:hAnsi="微软雅黑" w:eastAsia="微软雅黑" w:cs="微软雅黑"/>
          <w:sz w:val="30"/>
          <w:szCs w:val="30"/>
        </w:rPr>
      </w:pPr>
    </w:p>
    <w:p w14:paraId="477E7F6C">
      <w:pPr>
        <w:pStyle w:val="25"/>
        <w:spacing w:before="0" w:after="0" w:line="360" w:lineRule="auto"/>
        <w:jc w:val="center"/>
        <w:outlineLvl w:val="9"/>
        <w:rPr>
          <w:rFonts w:hint="eastAsia" w:ascii="微软雅黑" w:hAnsi="微软雅黑" w:eastAsia="微软雅黑" w:cs="微软雅黑"/>
          <w:sz w:val="30"/>
          <w:szCs w:val="30"/>
        </w:rPr>
      </w:pPr>
    </w:p>
    <w:p w14:paraId="15997DD3">
      <w:pPr>
        <w:pStyle w:val="25"/>
        <w:spacing w:before="0" w:after="0" w:line="360" w:lineRule="auto"/>
        <w:jc w:val="center"/>
        <w:outlineLvl w:val="9"/>
        <w:rPr>
          <w:rFonts w:hint="eastAsia" w:ascii="微软雅黑" w:hAnsi="微软雅黑" w:eastAsia="微软雅黑" w:cs="微软雅黑"/>
          <w:sz w:val="30"/>
          <w:szCs w:val="30"/>
        </w:rPr>
      </w:pPr>
    </w:p>
    <w:p w14:paraId="0F253038">
      <w:pPr>
        <w:pStyle w:val="25"/>
        <w:spacing w:before="0" w:after="0" w:line="360" w:lineRule="auto"/>
        <w:jc w:val="center"/>
        <w:outlineLvl w:val="9"/>
        <w:rPr>
          <w:rFonts w:hint="eastAsia" w:ascii="微软雅黑" w:hAnsi="微软雅黑" w:eastAsia="微软雅黑" w:cs="微软雅黑"/>
          <w:sz w:val="30"/>
          <w:szCs w:val="30"/>
        </w:rPr>
      </w:pPr>
    </w:p>
    <w:p w14:paraId="6BDC695E">
      <w:pPr>
        <w:pStyle w:val="25"/>
        <w:spacing w:before="0" w:after="0" w:line="360" w:lineRule="auto"/>
        <w:jc w:val="center"/>
        <w:rPr>
          <w:rFonts w:eastAsiaTheme="minorEastAsia"/>
          <w:sz w:val="30"/>
          <w:szCs w:val="30"/>
        </w:rPr>
      </w:pPr>
      <w:bookmarkStart w:id="16" w:name="_Toc22255"/>
      <w:r>
        <w:rPr>
          <w:rFonts w:hint="eastAsia" w:ascii="微软雅黑" w:hAnsi="微软雅黑" w:eastAsia="微软雅黑" w:cs="微软雅黑"/>
          <w:sz w:val="30"/>
          <w:szCs w:val="30"/>
        </w:rPr>
        <w:t>0.7组织结构及ASI管理体系职责分配</w:t>
      </w:r>
      <w:bookmarkEnd w:id="16"/>
    </w:p>
    <w:p w14:paraId="597D9921">
      <w:pPr>
        <w:pStyle w:val="10"/>
        <w:spacing w:line="360" w:lineRule="auto"/>
        <w:rPr>
          <w:rFonts w:hint="default" w:ascii="宋体" w:hAnsi="宋体" w:eastAsia="宋体" w:cs="宋体"/>
          <w:b/>
          <w:bCs/>
          <w:sz w:val="24"/>
          <w:szCs w:val="24"/>
          <w:lang w:val="en-US" w:eastAsia="zh-CN"/>
        </w:rPr>
      </w:pPr>
      <w:r>
        <w:rPr>
          <w:rFonts w:hint="eastAsia" w:ascii="宋体" w:hAnsi="宋体" w:eastAsia="宋体" w:cs="宋体"/>
          <w:b/>
          <w:bCs/>
          <w:sz w:val="24"/>
          <w:szCs w:val="24"/>
        </w:rPr>
        <w:t>0.7.1 ASI管理体系</w:t>
      </w:r>
      <w:r>
        <w:rPr>
          <w:rFonts w:hint="eastAsia" w:hAnsi="宋体" w:cs="宋体"/>
          <w:b/>
          <w:bCs/>
          <w:sz w:val="24"/>
          <w:szCs w:val="24"/>
          <w:lang w:val="en-US" w:eastAsia="zh-CN"/>
        </w:rPr>
        <w:t>职责分配</w:t>
      </w:r>
    </w:p>
    <w:tbl>
      <w:tblPr>
        <w:tblStyle w:val="27"/>
        <w:tblW w:w="92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097"/>
        <w:gridCol w:w="1044"/>
        <w:gridCol w:w="946"/>
        <w:gridCol w:w="856"/>
        <w:gridCol w:w="833"/>
        <w:gridCol w:w="833"/>
        <w:gridCol w:w="833"/>
        <w:gridCol w:w="833"/>
      </w:tblGrid>
      <w:tr w14:paraId="767E4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8"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59F5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ASI-PS</w:t>
            </w:r>
            <w:r>
              <w:rPr>
                <w:rStyle w:val="90"/>
                <w:lang w:val="en-US" w:eastAsia="zh-CN" w:bidi="ar"/>
              </w:rPr>
              <w:t>要求</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72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最高管理者</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BA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管理者者代表</w:t>
            </w:r>
          </w:p>
        </w:tc>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11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财务部</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F86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管理部</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37D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经营部</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51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制造部</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F0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质保部</w:t>
            </w:r>
          </w:p>
        </w:tc>
      </w:tr>
      <w:tr w14:paraId="5DDC2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9275" w:type="dxa"/>
            <w:gridSpan w:val="8"/>
            <w:tcBorders>
              <w:top w:val="single" w:color="000000" w:sz="4" w:space="0"/>
              <w:left w:val="single" w:color="000000" w:sz="4" w:space="0"/>
              <w:bottom w:val="single" w:color="000000" w:sz="4" w:space="0"/>
              <w:right w:val="single" w:color="000000" w:sz="4" w:space="0"/>
            </w:tcBorders>
            <w:shd w:val="clear" w:color="auto" w:fill="D9D9D9"/>
            <w:vAlign w:val="bottom"/>
          </w:tcPr>
          <w:p w14:paraId="71B17405">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w:t>
            </w:r>
            <w:r>
              <w:rPr>
                <w:rStyle w:val="90"/>
                <w:lang w:val="en-US" w:eastAsia="zh-CN" w:bidi="ar"/>
              </w:rPr>
              <w:t>、企业诚信</w:t>
            </w:r>
          </w:p>
        </w:tc>
      </w:tr>
      <w:tr w14:paraId="74475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BE4A290">
            <w:pPr>
              <w:keepNext w:val="0"/>
              <w:keepLines w:val="0"/>
              <w:widowControl/>
              <w:suppressLineNumbers w:val="0"/>
              <w:jc w:val="left"/>
              <w:textAlignment w:val="bottom"/>
              <w:rPr>
                <w:rFonts w:hint="default" w:ascii="Arial" w:hAnsi="Arial" w:cs="Arial"/>
                <w:i w:val="0"/>
                <w:iCs w:val="0"/>
                <w:color w:val="000000"/>
                <w:sz w:val="20"/>
                <w:szCs w:val="20"/>
                <w:u w:val="none"/>
                <w:lang w:val="en-US"/>
              </w:rPr>
            </w:pPr>
            <w:r>
              <w:rPr>
                <w:rFonts w:hint="default" w:ascii="Arial" w:hAnsi="Arial" w:eastAsia="宋体" w:cs="Arial"/>
                <w:i w:val="0"/>
                <w:iCs w:val="0"/>
                <w:color w:val="000000"/>
                <w:kern w:val="0"/>
                <w:sz w:val="20"/>
                <w:szCs w:val="20"/>
                <w:u w:val="none"/>
                <w:lang w:val="en-US" w:eastAsia="zh-CN" w:bidi="ar"/>
              </w:rPr>
              <w:t>1.1</w:t>
            </w:r>
            <w:r>
              <w:rPr>
                <w:rStyle w:val="90"/>
                <w:rFonts w:hint="eastAsia"/>
                <w:lang w:val="en-US" w:eastAsia="zh-CN" w:bidi="ar"/>
              </w:rPr>
              <w:t>法律合规性</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8354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1D94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48A8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FB3B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DDDC9">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0C4A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01BB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0E97C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0DAC9A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r>
              <w:rPr>
                <w:rStyle w:val="90"/>
                <w:lang w:val="en-US" w:eastAsia="zh-CN" w:bidi="ar"/>
              </w:rPr>
              <w:t>反腐败</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C711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ED47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7925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0275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94A7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1E81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FA386">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77FF6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8525E5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r>
              <w:rPr>
                <w:rStyle w:val="90"/>
                <w:lang w:val="en-US" w:eastAsia="zh-CN" w:bidi="ar"/>
              </w:rPr>
              <w:t>行为准则</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C583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D5EE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4E07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DB35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60672">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422C6">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0265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4A435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9275" w:type="dxa"/>
            <w:gridSpan w:val="8"/>
            <w:tcBorders>
              <w:top w:val="single" w:color="000000" w:sz="4" w:space="0"/>
              <w:left w:val="single" w:color="000000" w:sz="4" w:space="0"/>
              <w:bottom w:val="single" w:color="000000" w:sz="4" w:space="0"/>
              <w:right w:val="single" w:color="000000" w:sz="4" w:space="0"/>
            </w:tcBorders>
            <w:shd w:val="clear" w:color="auto" w:fill="D9D9D9"/>
            <w:vAlign w:val="bottom"/>
          </w:tcPr>
          <w:p w14:paraId="01920CC6">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2</w:t>
            </w:r>
            <w:r>
              <w:rPr>
                <w:rStyle w:val="90"/>
                <w:lang w:val="en-US" w:eastAsia="zh-CN" w:bidi="ar"/>
              </w:rPr>
              <w:t>、方针与管理</w:t>
            </w:r>
          </w:p>
        </w:tc>
      </w:tr>
      <w:tr w14:paraId="04678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91A4CB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r>
              <w:rPr>
                <w:rStyle w:val="90"/>
                <w:lang w:val="en-US" w:eastAsia="zh-CN" w:bidi="ar"/>
              </w:rPr>
              <w:t>环境、社会和治理方针</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5DB9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8440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6B2A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E0BF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B4F1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5CB42">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FFCB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329A4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4F2FD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w:t>
            </w:r>
            <w:r>
              <w:rPr>
                <w:rStyle w:val="90"/>
                <w:lang w:val="en-US" w:eastAsia="zh-CN" w:bidi="ar"/>
              </w:rPr>
              <w:t>管理者代表</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654D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C21F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F8FE75">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1B8316">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60C10B">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9A4EA55">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D65B00">
            <w:pPr>
              <w:rPr>
                <w:rFonts w:hint="default" w:ascii="Arial" w:hAnsi="Arial" w:cs="Arial"/>
                <w:i w:val="0"/>
                <w:iCs w:val="0"/>
                <w:color w:val="000000"/>
                <w:sz w:val="20"/>
                <w:szCs w:val="20"/>
                <w:u w:val="none"/>
              </w:rPr>
            </w:pPr>
          </w:p>
        </w:tc>
      </w:tr>
      <w:tr w14:paraId="041D6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FE8C06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w:t>
            </w:r>
            <w:r>
              <w:rPr>
                <w:rStyle w:val="90"/>
                <w:lang w:val="en-US" w:eastAsia="zh-CN" w:bidi="ar"/>
              </w:rPr>
              <w:t>环境和社会管理体系</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7390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66B2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9FEA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B5EE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C678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AB51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6F62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7BA7E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4AFC46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r>
              <w:rPr>
                <w:rStyle w:val="90"/>
                <w:lang w:val="en-US" w:eastAsia="zh-CN" w:bidi="ar"/>
              </w:rPr>
              <w:t>负责任采购</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08CDEB">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97CE83">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72C9D2">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1E3651">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49C0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C60D89">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CF7964">
            <w:pPr>
              <w:rPr>
                <w:rFonts w:hint="default" w:ascii="Arial" w:hAnsi="Arial" w:cs="Arial"/>
                <w:i w:val="0"/>
                <w:iCs w:val="0"/>
                <w:color w:val="000000"/>
                <w:sz w:val="20"/>
                <w:szCs w:val="20"/>
                <w:u w:val="none"/>
              </w:rPr>
            </w:pPr>
          </w:p>
        </w:tc>
      </w:tr>
      <w:tr w14:paraId="46FCC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26ED99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r>
              <w:rPr>
                <w:rStyle w:val="90"/>
                <w:lang w:val="en-US" w:eastAsia="zh-CN" w:bidi="ar"/>
              </w:rPr>
              <w:t>环境和社会影响评价</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63FA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4A50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84DE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555E9">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BE06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4773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692D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2728A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79BB96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w:t>
            </w:r>
            <w:r>
              <w:rPr>
                <w:rStyle w:val="90"/>
                <w:lang w:val="en-US" w:eastAsia="zh-CN" w:bidi="ar"/>
              </w:rPr>
              <w:t>人权影响评估</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5D9F6">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2B7E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3215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786B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7E0D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CB129">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B9C49">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396E7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7CC0BF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w:t>
            </w:r>
            <w:r>
              <w:rPr>
                <w:rStyle w:val="90"/>
                <w:lang w:val="en-US" w:eastAsia="zh-CN" w:bidi="ar"/>
              </w:rPr>
              <w:t>应急响应计划</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9E46C">
            <w:pPr>
              <w:jc w:val="cente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A045C">
            <w:pPr>
              <w:jc w:val="cente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3701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E7F21">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9CA7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CAB8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353F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629B5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B498BF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w:t>
            </w:r>
            <w:r>
              <w:rPr>
                <w:rStyle w:val="90"/>
                <w:lang w:val="en-US" w:eastAsia="zh-CN" w:bidi="ar"/>
              </w:rPr>
              <w:t>暂停运营</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835AC">
            <w:pPr>
              <w:jc w:val="cente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68C0B">
            <w:pPr>
              <w:jc w:val="cente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279B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C51B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6E92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043D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C76B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412BD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BA3EF9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w:t>
            </w:r>
            <w:r>
              <w:rPr>
                <w:rStyle w:val="90"/>
                <w:lang w:val="en-US" w:eastAsia="zh-CN" w:bidi="ar"/>
              </w:rPr>
              <w:t>合并与收购</w:t>
            </w:r>
            <w:r>
              <w:rPr>
                <w:rStyle w:val="91"/>
                <w:rFonts w:eastAsia="宋体"/>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F0EA4">
            <w:pPr>
              <w:jc w:val="cente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2553E">
            <w:pPr>
              <w:jc w:val="cente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9438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9368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87A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2F37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F059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1FD3E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01DDCA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w:t>
            </w:r>
            <w:r>
              <w:rPr>
                <w:rStyle w:val="90"/>
                <w:lang w:val="en-US" w:eastAsia="zh-CN" w:bidi="ar"/>
              </w:rPr>
              <w:t>关闭、退役和撤资</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81F93">
            <w:pPr>
              <w:jc w:val="cente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AB91F">
            <w:pPr>
              <w:jc w:val="cente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C13A1">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89B8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B0791">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C11E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09CF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2D46B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9275" w:type="dxa"/>
            <w:gridSpan w:val="8"/>
            <w:tcBorders>
              <w:top w:val="single" w:color="000000" w:sz="4" w:space="0"/>
              <w:left w:val="single" w:color="000000" w:sz="4" w:space="0"/>
              <w:bottom w:val="single" w:color="000000" w:sz="4" w:space="0"/>
              <w:right w:val="single" w:color="000000" w:sz="4" w:space="0"/>
            </w:tcBorders>
            <w:shd w:val="clear" w:color="auto" w:fill="D9D9D9"/>
            <w:vAlign w:val="bottom"/>
          </w:tcPr>
          <w:p w14:paraId="0434D917">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3</w:t>
            </w:r>
            <w:r>
              <w:rPr>
                <w:rStyle w:val="90"/>
                <w:lang w:val="en-US" w:eastAsia="zh-CN" w:bidi="ar"/>
              </w:rPr>
              <w:t>、透明度</w:t>
            </w:r>
          </w:p>
        </w:tc>
      </w:tr>
      <w:tr w14:paraId="57220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495C1A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w:t>
            </w:r>
            <w:r>
              <w:rPr>
                <w:rStyle w:val="90"/>
                <w:lang w:val="en-US" w:eastAsia="zh-CN" w:bidi="ar"/>
              </w:rPr>
              <w:t>可持续发展报告</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E30D5C">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95C77E">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7FA8AB">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9974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FD8778">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691A46">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74C1CA">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71B5F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D99EA5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w:t>
            </w:r>
            <w:r>
              <w:rPr>
                <w:rStyle w:val="90"/>
                <w:lang w:val="en-US" w:eastAsia="zh-CN" w:bidi="ar"/>
              </w:rPr>
              <w:t>违规与责任</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6B18C7">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EFEA0E">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29696B">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B55F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5ACDD9">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78AAA0">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769F95">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7FECF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6C24C9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w:t>
            </w:r>
            <w:r>
              <w:rPr>
                <w:rStyle w:val="90"/>
                <w:lang w:val="en-US" w:eastAsia="zh-CN" w:bidi="ar"/>
              </w:rPr>
              <w:t>给政府的付款</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C84143">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F5DCE5">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41281">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9DEEBA">
            <w:pPr>
              <w:jc w:val="cente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CBCA4A">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AAA88B">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4A8F82">
            <w:pPr>
              <w:rPr>
                <w:rFonts w:hint="default" w:ascii="Arial" w:hAnsi="Arial" w:cs="Arial"/>
                <w:i w:val="0"/>
                <w:iCs w:val="0"/>
                <w:color w:val="000000"/>
                <w:sz w:val="20"/>
                <w:szCs w:val="20"/>
                <w:u w:val="none"/>
              </w:rPr>
            </w:pPr>
          </w:p>
        </w:tc>
      </w:tr>
      <w:tr w14:paraId="73F8E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CA101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3.4 </w:t>
            </w:r>
            <w:r>
              <w:rPr>
                <w:rStyle w:val="90"/>
                <w:lang w:val="en-US" w:eastAsia="zh-CN" w:bidi="ar"/>
              </w:rPr>
              <w:t>利益相关方投诉、申诉及信息要求</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9AFB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157B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11C0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A03D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12C9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572C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4213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11C27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9275" w:type="dxa"/>
            <w:gridSpan w:val="8"/>
            <w:tcBorders>
              <w:top w:val="single" w:color="000000" w:sz="4" w:space="0"/>
              <w:left w:val="single" w:color="000000" w:sz="4" w:space="0"/>
              <w:bottom w:val="single" w:color="000000" w:sz="4" w:space="0"/>
              <w:right w:val="single" w:color="000000" w:sz="4" w:space="0"/>
            </w:tcBorders>
            <w:shd w:val="clear" w:color="auto" w:fill="D9D9D9"/>
            <w:vAlign w:val="bottom"/>
          </w:tcPr>
          <w:p w14:paraId="08316980">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4</w:t>
            </w:r>
            <w:r>
              <w:rPr>
                <w:rStyle w:val="90"/>
                <w:lang w:val="en-US" w:eastAsia="zh-CN" w:bidi="ar"/>
              </w:rPr>
              <w:t>、材料管理</w:t>
            </w:r>
          </w:p>
        </w:tc>
      </w:tr>
      <w:tr w14:paraId="02317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211DA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4.1 </w:t>
            </w:r>
            <w:r>
              <w:rPr>
                <w:rStyle w:val="90"/>
                <w:lang w:val="en-US" w:eastAsia="zh-CN" w:bidi="ar"/>
              </w:rPr>
              <w:t>环境生命周期评价</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80019">
            <w:pPr>
              <w:jc w:val="cente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121A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4CA7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77BD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6568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E533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A9212">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13FC5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BFF578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4.2 </w:t>
            </w:r>
            <w:r>
              <w:rPr>
                <w:rStyle w:val="90"/>
                <w:lang w:val="en-US" w:eastAsia="zh-CN" w:bidi="ar"/>
              </w:rPr>
              <w:t>产品设计</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2CE8EA">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4A96A6">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5BAB67">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AA33B7">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EFE864">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0AF949">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5F5A80">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31315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CA0117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4.3 </w:t>
            </w:r>
            <w:r>
              <w:rPr>
                <w:rStyle w:val="90"/>
                <w:lang w:val="en-US" w:eastAsia="zh-CN" w:bidi="ar"/>
              </w:rPr>
              <w:t>铝的工艺废料</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BBFBB2">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7C2986">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714453">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E97296">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8F2F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7FA8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2452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03727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07F76C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4.4 </w:t>
            </w:r>
            <w:r>
              <w:rPr>
                <w:rStyle w:val="90"/>
                <w:lang w:val="en-US" w:eastAsia="zh-CN" w:bidi="ar"/>
              </w:rPr>
              <w:t>报废产品的收集和回收利用</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EEC505">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EA30CA">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74FE75">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0CCC4E">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6632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BFAD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6323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704E7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4" w:hRule="atLeast"/>
        </w:trPr>
        <w:tc>
          <w:tcPr>
            <w:tcW w:w="9275" w:type="dxa"/>
            <w:gridSpan w:val="8"/>
            <w:tcBorders>
              <w:top w:val="single" w:color="000000" w:sz="4" w:space="0"/>
              <w:left w:val="single" w:color="000000" w:sz="4" w:space="0"/>
              <w:bottom w:val="single" w:color="000000" w:sz="4" w:space="0"/>
              <w:right w:val="single" w:color="000000" w:sz="4" w:space="0"/>
            </w:tcBorders>
            <w:shd w:val="clear" w:color="auto" w:fill="D9D9D9"/>
            <w:vAlign w:val="bottom"/>
          </w:tcPr>
          <w:p w14:paraId="47DE16DA">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5</w:t>
            </w:r>
            <w:r>
              <w:rPr>
                <w:rStyle w:val="90"/>
                <w:lang w:val="en-US" w:eastAsia="zh-CN" w:bidi="ar"/>
              </w:rPr>
              <w:t>、</w:t>
            </w:r>
            <w:r>
              <w:rPr>
                <w:rStyle w:val="91"/>
                <w:rFonts w:eastAsia="宋体"/>
                <w:lang w:val="en-US" w:eastAsia="zh-CN" w:bidi="ar"/>
              </w:rPr>
              <w:t xml:space="preserve"> </w:t>
            </w:r>
            <w:r>
              <w:rPr>
                <w:rStyle w:val="90"/>
                <w:lang w:val="en-US" w:eastAsia="zh-CN" w:bidi="ar"/>
              </w:rPr>
              <w:t>温室气体排放</w:t>
            </w:r>
          </w:p>
        </w:tc>
      </w:tr>
      <w:tr w14:paraId="5DB6F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1C53D1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5.1 </w:t>
            </w:r>
            <w:r>
              <w:rPr>
                <w:rStyle w:val="90"/>
                <w:lang w:val="en-US" w:eastAsia="zh-CN" w:bidi="ar"/>
              </w:rPr>
              <w:t>披露温室气体排放和能源使用情况</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46BD0">
            <w:pPr>
              <w:jc w:val="cente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E3BF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3B29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5417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F897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9FEE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FA122">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68DA7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93CBDC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5.2 </w:t>
            </w:r>
            <w:r>
              <w:rPr>
                <w:rStyle w:val="90"/>
                <w:lang w:val="en-US" w:eastAsia="zh-CN" w:bidi="ar"/>
              </w:rPr>
              <w:t>铝冶炼厂温室气体排放强度</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5D2A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A49B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E1B7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3C5E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4DC21">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58C8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0679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4BFDD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03F780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5.3 </w:t>
            </w:r>
            <w:r>
              <w:rPr>
                <w:rStyle w:val="90"/>
                <w:lang w:val="en-US" w:eastAsia="zh-CN" w:bidi="ar"/>
              </w:rPr>
              <w:t>温室气体减排计划</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87DB7">
            <w:pPr>
              <w:jc w:val="cente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9AA53">
            <w:pPr>
              <w:jc w:val="cente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67CB6">
            <w:pPr>
              <w:jc w:val="cente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940E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B4F25">
            <w:pPr>
              <w:jc w:val="cente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DE665">
            <w:pPr>
              <w:jc w:val="cente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72AA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6447A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DE78E8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5.4 </w:t>
            </w:r>
            <w:r>
              <w:rPr>
                <w:rStyle w:val="90"/>
                <w:lang w:val="en-US" w:eastAsia="zh-CN" w:bidi="ar"/>
              </w:rPr>
              <w:t>温室气体排放管理</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F06F9">
            <w:pPr>
              <w:jc w:val="cente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0F0B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339A9">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FF8B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CA6B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BE33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8194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2B1D0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trPr>
        <w:tc>
          <w:tcPr>
            <w:tcW w:w="9275" w:type="dxa"/>
            <w:gridSpan w:val="8"/>
            <w:tcBorders>
              <w:top w:val="single" w:color="000000" w:sz="4" w:space="0"/>
              <w:left w:val="single" w:color="000000" w:sz="4" w:space="0"/>
              <w:bottom w:val="single" w:color="000000" w:sz="4" w:space="0"/>
              <w:right w:val="single" w:color="000000" w:sz="4" w:space="0"/>
            </w:tcBorders>
            <w:shd w:val="clear" w:color="auto" w:fill="D9D9D9"/>
            <w:vAlign w:val="bottom"/>
          </w:tcPr>
          <w:p w14:paraId="51DA3A9B">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6</w:t>
            </w:r>
            <w:r>
              <w:rPr>
                <w:rStyle w:val="90"/>
                <w:lang w:val="en-US" w:eastAsia="zh-CN" w:bidi="ar"/>
              </w:rPr>
              <w:t>、大气污染物、水体污染物和固体废物</w:t>
            </w:r>
          </w:p>
        </w:tc>
      </w:tr>
      <w:tr w14:paraId="0B451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684FCF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6.1 </w:t>
            </w:r>
            <w:r>
              <w:rPr>
                <w:rStyle w:val="90"/>
                <w:lang w:val="en-US" w:eastAsia="zh-CN" w:bidi="ar"/>
              </w:rPr>
              <w:t>大气污染物排放</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050D5F">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B2D1BD">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CF3290">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28E36">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D894E1">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ABB4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81B5AE">
            <w:pPr>
              <w:rPr>
                <w:rFonts w:hint="default" w:ascii="Arial" w:hAnsi="Arial" w:cs="Arial"/>
                <w:i w:val="0"/>
                <w:iCs w:val="0"/>
                <w:color w:val="000000"/>
                <w:sz w:val="20"/>
                <w:szCs w:val="20"/>
                <w:u w:val="none"/>
              </w:rPr>
            </w:pPr>
          </w:p>
        </w:tc>
      </w:tr>
      <w:tr w14:paraId="0106E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695BD0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6.2 </w:t>
            </w:r>
            <w:r>
              <w:rPr>
                <w:rStyle w:val="90"/>
                <w:lang w:val="en-US" w:eastAsia="zh-CN" w:bidi="ar"/>
              </w:rPr>
              <w:t>水污染物排放</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9286F6">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2A9118">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1B49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91CB9">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1F8C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2CE7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2B9A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72806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BE5F34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6.3 </w:t>
            </w:r>
            <w:r>
              <w:rPr>
                <w:rStyle w:val="90"/>
                <w:lang w:val="en-US" w:eastAsia="zh-CN" w:bidi="ar"/>
              </w:rPr>
              <w:t>泄漏与渗漏的评估与管理</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1A1AF6">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8E4516">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FE90B9">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143A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24BB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6A88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070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0798D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CE30A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6.4 </w:t>
            </w:r>
            <w:r>
              <w:rPr>
                <w:rStyle w:val="90"/>
                <w:lang w:val="en-US" w:eastAsia="zh-CN" w:bidi="ar"/>
              </w:rPr>
              <w:t>公开披露泄漏和渗漏</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5E0040">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022F55">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812BA8">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A7976">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299D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D72F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0FA29">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76792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25AE8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6.5 </w:t>
            </w:r>
            <w:r>
              <w:rPr>
                <w:rStyle w:val="90"/>
                <w:lang w:val="en-US" w:eastAsia="zh-CN" w:bidi="ar"/>
              </w:rPr>
              <w:t>废物的管理和报告</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2C644A">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C4DD29">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2E4192">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5816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7BE0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35C3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9222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497BD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003B62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6.6 </w:t>
            </w:r>
            <w:r>
              <w:rPr>
                <w:rStyle w:val="90"/>
                <w:lang w:val="en-US" w:eastAsia="zh-CN" w:bidi="ar"/>
              </w:rPr>
              <w:t>赤泥</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1F45F0">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87FE04">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259BCE">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DBFE9F">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8DEC9B">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EBCE4E">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8CB711">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7706F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DADC25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6.7 </w:t>
            </w:r>
            <w:r>
              <w:rPr>
                <w:rStyle w:val="90"/>
                <w:lang w:val="en-US" w:eastAsia="zh-CN" w:bidi="ar"/>
              </w:rPr>
              <w:t>电解槽大修渣（</w:t>
            </w:r>
            <w:r>
              <w:rPr>
                <w:rStyle w:val="91"/>
                <w:rFonts w:eastAsia="宋体"/>
                <w:lang w:val="en-US" w:eastAsia="zh-CN" w:bidi="ar"/>
              </w:rPr>
              <w:t>SPL</w:t>
            </w:r>
            <w:r>
              <w:rPr>
                <w:rStyle w:val="90"/>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51E254">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8D1EF87">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4CE988">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74F4ED">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9BA1D1">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01C613">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AA20E2">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2442D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D2F31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6.8 </w:t>
            </w:r>
            <w:r>
              <w:rPr>
                <w:rStyle w:val="90"/>
                <w:lang w:val="en-US" w:eastAsia="zh-CN" w:bidi="ar"/>
              </w:rPr>
              <w:t>铝灰渣</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071E28">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5014FF">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ECFBC2">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1587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96CC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012A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78AFDD">
            <w:pPr>
              <w:rPr>
                <w:rFonts w:hint="default" w:ascii="Arial" w:hAnsi="Arial" w:cs="Arial"/>
                <w:i w:val="0"/>
                <w:iCs w:val="0"/>
                <w:color w:val="000000"/>
                <w:sz w:val="20"/>
                <w:szCs w:val="20"/>
                <w:u w:val="none"/>
              </w:rPr>
            </w:pPr>
          </w:p>
        </w:tc>
      </w:tr>
      <w:tr w14:paraId="19EFA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7" w:hRule="atLeast"/>
        </w:trPr>
        <w:tc>
          <w:tcPr>
            <w:tcW w:w="9275" w:type="dxa"/>
            <w:gridSpan w:val="8"/>
            <w:tcBorders>
              <w:top w:val="single" w:color="000000" w:sz="4" w:space="0"/>
              <w:left w:val="single" w:color="000000" w:sz="4" w:space="0"/>
              <w:bottom w:val="single" w:color="000000" w:sz="4" w:space="0"/>
              <w:right w:val="single" w:color="000000" w:sz="4" w:space="0"/>
            </w:tcBorders>
            <w:shd w:val="clear" w:color="auto" w:fill="D9D9D9"/>
            <w:vAlign w:val="bottom"/>
          </w:tcPr>
          <w:p w14:paraId="7536F0C8">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7</w:t>
            </w:r>
            <w:r>
              <w:rPr>
                <w:rStyle w:val="90"/>
                <w:lang w:val="en-US" w:eastAsia="zh-CN" w:bidi="ar"/>
              </w:rPr>
              <w:t>、水资源管理</w:t>
            </w:r>
          </w:p>
        </w:tc>
      </w:tr>
      <w:tr w14:paraId="75E73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FBF6E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7.1 </w:t>
            </w:r>
            <w:r>
              <w:rPr>
                <w:rStyle w:val="90"/>
                <w:lang w:val="en-US" w:eastAsia="zh-CN" w:bidi="ar"/>
              </w:rPr>
              <w:t>水的评估和披露</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FF5E80">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A5CBE4">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65E28A">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233D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0EFC7">
            <w:pPr>
              <w:jc w:val="cente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7E91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47BD3C">
            <w:pPr>
              <w:rPr>
                <w:rFonts w:hint="default" w:ascii="Arial" w:hAnsi="Arial" w:cs="Arial"/>
                <w:i w:val="0"/>
                <w:iCs w:val="0"/>
                <w:color w:val="000000"/>
                <w:sz w:val="20"/>
                <w:szCs w:val="20"/>
                <w:u w:val="none"/>
              </w:rPr>
            </w:pPr>
          </w:p>
        </w:tc>
      </w:tr>
      <w:tr w14:paraId="06219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3D7D1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7.2 </w:t>
            </w:r>
            <w:r>
              <w:rPr>
                <w:rStyle w:val="90"/>
                <w:lang w:val="en-US" w:eastAsia="zh-CN" w:bidi="ar"/>
              </w:rPr>
              <w:t>水资源管理</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E41185">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6E2A34">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158C21">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C3476">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AD6F2">
            <w:pPr>
              <w:jc w:val="cente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1F9A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4D8C22">
            <w:pPr>
              <w:rPr>
                <w:rFonts w:hint="default" w:ascii="Arial" w:hAnsi="Arial" w:cs="Arial"/>
                <w:i w:val="0"/>
                <w:iCs w:val="0"/>
                <w:color w:val="000000"/>
                <w:sz w:val="20"/>
                <w:szCs w:val="20"/>
                <w:u w:val="none"/>
              </w:rPr>
            </w:pPr>
          </w:p>
        </w:tc>
      </w:tr>
      <w:tr w14:paraId="2F5FA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9275" w:type="dxa"/>
            <w:gridSpan w:val="8"/>
            <w:tcBorders>
              <w:top w:val="single" w:color="000000" w:sz="4" w:space="0"/>
              <w:left w:val="single" w:color="000000" w:sz="4" w:space="0"/>
              <w:bottom w:val="single" w:color="000000" w:sz="4" w:space="0"/>
              <w:right w:val="single" w:color="000000" w:sz="4" w:space="0"/>
            </w:tcBorders>
            <w:shd w:val="clear" w:color="auto" w:fill="D9D9D9"/>
            <w:vAlign w:val="bottom"/>
          </w:tcPr>
          <w:p w14:paraId="33D38C59">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8</w:t>
            </w:r>
            <w:r>
              <w:rPr>
                <w:rStyle w:val="90"/>
                <w:lang w:val="en-US" w:eastAsia="zh-CN" w:bidi="ar"/>
              </w:rPr>
              <w:t>、</w:t>
            </w:r>
            <w:r>
              <w:rPr>
                <w:rStyle w:val="91"/>
                <w:rFonts w:eastAsia="宋体"/>
                <w:lang w:val="en-US" w:eastAsia="zh-CN" w:bidi="ar"/>
              </w:rPr>
              <w:t xml:space="preserve"> </w:t>
            </w:r>
            <w:r>
              <w:rPr>
                <w:rStyle w:val="90"/>
                <w:lang w:val="en-US" w:eastAsia="zh-CN" w:bidi="ar"/>
              </w:rPr>
              <w:t>生物多样性和生态系统服务</w:t>
            </w:r>
          </w:p>
        </w:tc>
      </w:tr>
      <w:tr w14:paraId="0FA70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A15CC9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8.1 </w:t>
            </w:r>
            <w:r>
              <w:rPr>
                <w:rStyle w:val="90"/>
                <w:lang w:val="en-US" w:eastAsia="zh-CN" w:bidi="ar"/>
              </w:rPr>
              <w:t>生物多样性和生态系统服务的风险及影响评估</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6929EA">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F07FD9">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0270A4">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64901">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F49F05">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B9976F0">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C7479D">
            <w:pPr>
              <w:rPr>
                <w:rFonts w:hint="default" w:ascii="Arial" w:hAnsi="Arial" w:cs="Arial"/>
                <w:i w:val="0"/>
                <w:iCs w:val="0"/>
                <w:color w:val="000000"/>
                <w:sz w:val="20"/>
                <w:szCs w:val="20"/>
                <w:u w:val="none"/>
              </w:rPr>
            </w:pPr>
          </w:p>
        </w:tc>
      </w:tr>
      <w:tr w14:paraId="72C56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243766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8.2 </w:t>
            </w:r>
            <w:r>
              <w:rPr>
                <w:rStyle w:val="90"/>
                <w:lang w:val="en-US" w:eastAsia="zh-CN" w:bidi="ar"/>
              </w:rPr>
              <w:t>生物多样性管理</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890E57">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9844FA">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34D6DC">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82B7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D7915D">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5916F8">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409BC0">
            <w:pPr>
              <w:rPr>
                <w:rFonts w:hint="default" w:ascii="Arial" w:hAnsi="Arial" w:cs="Arial"/>
                <w:i w:val="0"/>
                <w:iCs w:val="0"/>
                <w:color w:val="000000"/>
                <w:sz w:val="20"/>
                <w:szCs w:val="20"/>
                <w:u w:val="none"/>
              </w:rPr>
            </w:pPr>
          </w:p>
        </w:tc>
      </w:tr>
      <w:tr w14:paraId="25012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403A10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8.3 </w:t>
            </w:r>
            <w:r>
              <w:rPr>
                <w:rStyle w:val="90"/>
                <w:lang w:val="en-US" w:eastAsia="zh-CN" w:bidi="ar"/>
              </w:rPr>
              <w:t>生态系统服务管理</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786018">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43F129">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A36C84">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C1AE6">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944E49">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EE87BF">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8E6D00">
            <w:pPr>
              <w:rPr>
                <w:rFonts w:hint="default" w:ascii="Arial" w:hAnsi="Arial" w:cs="Arial"/>
                <w:i w:val="0"/>
                <w:iCs w:val="0"/>
                <w:color w:val="000000"/>
                <w:sz w:val="20"/>
                <w:szCs w:val="20"/>
                <w:u w:val="none"/>
              </w:rPr>
            </w:pPr>
          </w:p>
        </w:tc>
      </w:tr>
      <w:tr w14:paraId="0C9BE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ADFDA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8.4 </w:t>
            </w:r>
            <w:r>
              <w:rPr>
                <w:rStyle w:val="90"/>
                <w:lang w:val="en-US" w:eastAsia="zh-CN" w:bidi="ar"/>
              </w:rPr>
              <w:t>外来物种</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46EAFF">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1FF99A">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80CB66">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DC09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8A7D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09C9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69E41">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2EC0D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D76091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8.5 </w:t>
            </w:r>
            <w:r>
              <w:rPr>
                <w:rStyle w:val="90"/>
                <w:lang w:val="en-US" w:eastAsia="zh-CN" w:bidi="ar"/>
              </w:rPr>
              <w:t>承诺</w:t>
            </w:r>
            <w:r>
              <w:rPr>
                <w:rStyle w:val="91"/>
                <w:rFonts w:eastAsia="宋体"/>
                <w:lang w:val="en-US" w:eastAsia="zh-CN" w:bidi="ar"/>
              </w:rPr>
              <w:t>“</w:t>
            </w:r>
            <w:r>
              <w:rPr>
                <w:rStyle w:val="90"/>
                <w:lang w:val="en-US" w:eastAsia="zh-CN" w:bidi="ar"/>
              </w:rPr>
              <w:t>禁入</w:t>
            </w:r>
            <w:r>
              <w:rPr>
                <w:rStyle w:val="91"/>
                <w:rFonts w:eastAsia="宋体"/>
                <w:lang w:val="en-US" w:eastAsia="zh-CN" w:bidi="ar"/>
              </w:rPr>
              <w:t xml:space="preserve">” </w:t>
            </w:r>
            <w:r>
              <w:rPr>
                <w:rStyle w:val="90"/>
                <w:lang w:val="en-US" w:eastAsia="zh-CN" w:bidi="ar"/>
              </w:rPr>
              <w:t>世界遗产地</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65B880">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80CBFE">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B7622C">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E1A9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EBC516">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FD3451">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C2B4AA">
            <w:pPr>
              <w:rPr>
                <w:rFonts w:hint="default" w:ascii="Arial" w:hAnsi="Arial" w:cs="Arial"/>
                <w:i w:val="0"/>
                <w:iCs w:val="0"/>
                <w:color w:val="000000"/>
                <w:sz w:val="20"/>
                <w:szCs w:val="20"/>
                <w:u w:val="none"/>
              </w:rPr>
            </w:pPr>
          </w:p>
        </w:tc>
      </w:tr>
      <w:tr w14:paraId="23F98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5C010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8.6 </w:t>
            </w:r>
            <w:r>
              <w:rPr>
                <w:rStyle w:val="90"/>
                <w:lang w:val="en-US" w:eastAsia="zh-CN" w:bidi="ar"/>
              </w:rPr>
              <w:t>保护区</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1A5F73">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8B81D2">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DD5639">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FDB9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C5B93A">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37CCB9">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263D05">
            <w:pPr>
              <w:rPr>
                <w:rFonts w:hint="default" w:ascii="Arial" w:hAnsi="Arial" w:cs="Arial"/>
                <w:i w:val="0"/>
                <w:iCs w:val="0"/>
                <w:color w:val="000000"/>
                <w:sz w:val="20"/>
                <w:szCs w:val="20"/>
                <w:u w:val="none"/>
              </w:rPr>
            </w:pPr>
          </w:p>
        </w:tc>
      </w:tr>
      <w:tr w14:paraId="608A1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03BF58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8.7 </w:t>
            </w:r>
            <w:r>
              <w:rPr>
                <w:rStyle w:val="90"/>
                <w:lang w:val="en-US" w:eastAsia="zh-CN" w:bidi="ar"/>
              </w:rPr>
              <w:t>矿山恢复</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C3AF77">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37C3FB">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0F6F04">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7EE1F2">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F48F09">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91F781">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3095B5">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55A57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9275" w:type="dxa"/>
            <w:gridSpan w:val="8"/>
            <w:tcBorders>
              <w:top w:val="single" w:color="000000" w:sz="4" w:space="0"/>
              <w:left w:val="single" w:color="000000" w:sz="4" w:space="0"/>
              <w:bottom w:val="single" w:color="000000" w:sz="4" w:space="0"/>
              <w:right w:val="single" w:color="000000" w:sz="4" w:space="0"/>
            </w:tcBorders>
            <w:shd w:val="clear" w:color="auto" w:fill="D9D9D9"/>
            <w:vAlign w:val="bottom"/>
          </w:tcPr>
          <w:p w14:paraId="4A2FDE37">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9</w:t>
            </w:r>
            <w:r>
              <w:rPr>
                <w:rStyle w:val="90"/>
                <w:lang w:val="en-US" w:eastAsia="zh-CN" w:bidi="ar"/>
              </w:rPr>
              <w:t>、人权</w:t>
            </w:r>
          </w:p>
        </w:tc>
      </w:tr>
      <w:tr w14:paraId="78591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9F01C7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w:t>
            </w:r>
            <w:r>
              <w:rPr>
                <w:rStyle w:val="90"/>
                <w:lang w:val="en-US" w:eastAsia="zh-CN" w:bidi="ar"/>
              </w:rPr>
              <w:t>人权尽职调查</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577C6">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79D7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F160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51E4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BFBF9">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776F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8BFC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021FE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0519F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w:t>
            </w:r>
            <w:r>
              <w:rPr>
                <w:rStyle w:val="90"/>
                <w:lang w:val="en-US" w:eastAsia="zh-CN" w:bidi="ar"/>
              </w:rPr>
              <w:t>两性平等和赋予妇女权力</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C5D72">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8928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E6BC2">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0908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28C5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B73F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0548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72F13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9AD2A1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w:t>
            </w:r>
            <w:r>
              <w:rPr>
                <w:rStyle w:val="90"/>
                <w:lang w:val="en-US" w:eastAsia="zh-CN" w:bidi="ar"/>
              </w:rPr>
              <w:t>原住民</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9546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5C26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D00E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3680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6DC3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3353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5A67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399F1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321F2D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w:t>
            </w:r>
            <w:r>
              <w:rPr>
                <w:rStyle w:val="90"/>
                <w:lang w:val="en-US" w:eastAsia="zh-CN" w:bidi="ar"/>
              </w:rPr>
              <w:t>自主、事先和知情同意</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3FBC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F1BC2">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C215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E50D6">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43FE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0679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B920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6ACFF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D140B4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9.5 </w:t>
            </w:r>
            <w:r>
              <w:rPr>
                <w:rStyle w:val="90"/>
                <w:lang w:val="en-US" w:eastAsia="zh-CN" w:bidi="ar"/>
              </w:rPr>
              <w:t>文化遗址和宗教圣地</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B733F1">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261C65">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42E8EE">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172E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97B2BA">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BFB0022">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1E6DFB">
            <w:pPr>
              <w:rPr>
                <w:rFonts w:hint="default" w:ascii="Arial" w:hAnsi="Arial" w:cs="Arial"/>
                <w:i w:val="0"/>
                <w:iCs w:val="0"/>
                <w:color w:val="000000"/>
                <w:sz w:val="20"/>
                <w:szCs w:val="20"/>
                <w:u w:val="none"/>
              </w:rPr>
            </w:pPr>
          </w:p>
        </w:tc>
      </w:tr>
      <w:tr w14:paraId="7B1D8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D617FA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w:t>
            </w:r>
            <w:r>
              <w:rPr>
                <w:rStyle w:val="90"/>
                <w:lang w:val="en-US" w:eastAsia="zh-CN" w:bidi="ar"/>
              </w:rPr>
              <w:t>迁徙</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878C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A2C2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8D6D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C373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DD1F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24B5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203C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21F89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2A5D37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9.7 </w:t>
            </w:r>
            <w:r>
              <w:rPr>
                <w:rStyle w:val="90"/>
                <w:lang w:val="en-US" w:eastAsia="zh-CN" w:bidi="ar"/>
              </w:rPr>
              <w:t>受影响人群和组织</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45ABC9">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8C5FBC">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FAAE54">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58902">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64D7F2">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01AD49">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086454">
            <w:pPr>
              <w:rPr>
                <w:rFonts w:hint="default" w:ascii="Arial" w:hAnsi="Arial" w:cs="Arial"/>
                <w:i w:val="0"/>
                <w:iCs w:val="0"/>
                <w:color w:val="000000"/>
                <w:sz w:val="20"/>
                <w:szCs w:val="20"/>
                <w:u w:val="none"/>
              </w:rPr>
            </w:pPr>
          </w:p>
        </w:tc>
      </w:tr>
      <w:tr w14:paraId="4BFD7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D9F12B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9.8 </w:t>
            </w:r>
            <w:r>
              <w:rPr>
                <w:rStyle w:val="90"/>
                <w:lang w:val="en-US" w:eastAsia="zh-CN" w:bidi="ar"/>
              </w:rPr>
              <w:t>受冲突影响和高风险地区</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4B8078">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87B555F">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F53C39">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F735A">
            <w:pPr>
              <w:jc w:val="cente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61CC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365FAD">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876C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17AF5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1C7ADE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w:t>
            </w:r>
            <w:r>
              <w:rPr>
                <w:rStyle w:val="90"/>
                <w:lang w:val="en-US" w:eastAsia="zh-CN" w:bidi="ar"/>
              </w:rPr>
              <w:t>安保做法</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DF6070">
            <w:pPr>
              <w:rPr>
                <w:rFonts w:hint="default" w:ascii="Arial" w:hAnsi="Arial" w:cs="Arial"/>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15AE5D">
            <w:pPr>
              <w:rPr>
                <w:rFonts w:hint="default" w:ascii="Arial" w:hAnsi="Arial" w:cs="Arial"/>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34BECB">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546B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8C3CFB">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133CCB">
            <w:pPr>
              <w:rPr>
                <w:rFonts w:hint="default" w:ascii="Arial" w:hAnsi="Arial" w:cs="Arial"/>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774FCF">
            <w:pPr>
              <w:rPr>
                <w:rFonts w:hint="default" w:ascii="Arial" w:hAnsi="Arial" w:cs="Arial"/>
                <w:i w:val="0"/>
                <w:iCs w:val="0"/>
                <w:color w:val="000000"/>
                <w:sz w:val="20"/>
                <w:szCs w:val="20"/>
                <w:u w:val="none"/>
              </w:rPr>
            </w:pPr>
          </w:p>
        </w:tc>
      </w:tr>
      <w:tr w14:paraId="03646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9275" w:type="dxa"/>
            <w:gridSpan w:val="8"/>
            <w:tcBorders>
              <w:top w:val="single" w:color="000000" w:sz="4" w:space="0"/>
              <w:left w:val="single" w:color="000000" w:sz="4" w:space="0"/>
              <w:bottom w:val="single" w:color="000000" w:sz="4" w:space="0"/>
              <w:right w:val="single" w:color="000000" w:sz="4" w:space="0"/>
            </w:tcBorders>
            <w:shd w:val="clear" w:color="auto" w:fill="D9D9D9"/>
            <w:vAlign w:val="bottom"/>
          </w:tcPr>
          <w:p w14:paraId="51459771">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10</w:t>
            </w:r>
            <w:r>
              <w:rPr>
                <w:rStyle w:val="90"/>
                <w:lang w:val="en-US" w:eastAsia="zh-CN" w:bidi="ar"/>
              </w:rPr>
              <w:t>、劳工权益</w:t>
            </w:r>
          </w:p>
        </w:tc>
      </w:tr>
      <w:tr w14:paraId="2E626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C30597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10.1 </w:t>
            </w:r>
            <w:r>
              <w:rPr>
                <w:rStyle w:val="90"/>
                <w:lang w:val="en-US" w:eastAsia="zh-CN" w:bidi="ar"/>
              </w:rPr>
              <w:t>结社自由和集体谈判权利</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E5391">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7E93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C708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0565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8C6C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FB63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84B8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19414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A88D58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w:t>
            </w:r>
            <w:r>
              <w:rPr>
                <w:rStyle w:val="90"/>
                <w:lang w:val="en-US" w:eastAsia="zh-CN" w:bidi="ar"/>
              </w:rPr>
              <w:t>童工</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B3A5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C471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CD57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CDD69">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569E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F375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D0EF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1137C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A8BC44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w:t>
            </w:r>
            <w:r>
              <w:rPr>
                <w:rStyle w:val="90"/>
                <w:lang w:val="en-US" w:eastAsia="zh-CN" w:bidi="ar"/>
              </w:rPr>
              <w:t>强迫劳动</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088D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4DE1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93FA1">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F51D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9040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3732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E1F6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45AF5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725C78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w:t>
            </w:r>
            <w:r>
              <w:rPr>
                <w:rStyle w:val="90"/>
                <w:lang w:val="en-US" w:eastAsia="zh-CN" w:bidi="ar"/>
              </w:rPr>
              <w:t>非歧视</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6EAC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0A94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8D1B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544C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1A5E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BD17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9AD31">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5BA6C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F5719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w:t>
            </w:r>
            <w:r>
              <w:rPr>
                <w:rStyle w:val="90"/>
                <w:lang w:val="en-US" w:eastAsia="zh-CN" w:bidi="ar"/>
              </w:rPr>
              <w:t>沟通和参与</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058D1">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E612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75EC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F6EB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76AC2">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56E0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9BAA1">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68040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7CBB9C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w:t>
            </w:r>
            <w:r>
              <w:rPr>
                <w:rStyle w:val="90"/>
                <w:lang w:val="en-US" w:eastAsia="zh-CN" w:bidi="ar"/>
              </w:rPr>
              <w:t>暴力和骚然</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4035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12C3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32E4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4AB7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308B5">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76AC2">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80F3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7EABD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81D4BA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w:t>
            </w:r>
            <w:r>
              <w:rPr>
                <w:rStyle w:val="90"/>
                <w:lang w:val="en-US" w:eastAsia="zh-CN" w:bidi="ar"/>
              </w:rPr>
              <w:t>报酬</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5E346">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FCCE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A3199">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10BF9">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0B0E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5FB3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D8C2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21D50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3B4FF5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w:t>
            </w:r>
            <w:r>
              <w:rPr>
                <w:rStyle w:val="90"/>
                <w:lang w:val="en-US" w:eastAsia="zh-CN" w:bidi="ar"/>
              </w:rPr>
              <w:t>劳动时间</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9A8F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C44E6">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189C">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A417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AC59">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9563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606D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64EAD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7E7ED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w:t>
            </w:r>
            <w:r>
              <w:rPr>
                <w:rStyle w:val="90"/>
                <w:lang w:val="en-US" w:eastAsia="zh-CN" w:bidi="ar"/>
              </w:rPr>
              <w:t>员工权利告知</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DF50A">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D87BE">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50FD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C7AA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F0832">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BFEA3">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34C4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01D30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275" w:type="dxa"/>
            <w:gridSpan w:val="8"/>
            <w:tcBorders>
              <w:top w:val="single" w:color="000000" w:sz="4" w:space="0"/>
              <w:left w:val="single" w:color="000000" w:sz="4" w:space="0"/>
              <w:bottom w:val="single" w:color="000000" w:sz="4" w:space="0"/>
              <w:right w:val="single" w:color="000000" w:sz="4" w:space="0"/>
            </w:tcBorders>
            <w:shd w:val="clear" w:color="auto" w:fill="D9D9D9"/>
            <w:vAlign w:val="bottom"/>
          </w:tcPr>
          <w:p w14:paraId="0AAD963F">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11</w:t>
            </w:r>
            <w:r>
              <w:rPr>
                <w:rStyle w:val="90"/>
                <w:lang w:val="en-US" w:eastAsia="zh-CN" w:bidi="ar"/>
              </w:rPr>
              <w:t>、职业健康与安全</w:t>
            </w:r>
          </w:p>
        </w:tc>
      </w:tr>
      <w:tr w14:paraId="69289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94362B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w:t>
            </w:r>
            <w:r>
              <w:rPr>
                <w:rStyle w:val="90"/>
                <w:lang w:val="en-US" w:eastAsia="zh-CN" w:bidi="ar"/>
              </w:rPr>
              <w:t>职业健康与安全管理体系</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9F3F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99F2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C59D1">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49B9D">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6062F">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735D6">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D60D2">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r w14:paraId="057D9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09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D50D72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w:t>
            </w:r>
            <w:r>
              <w:rPr>
                <w:rStyle w:val="90"/>
                <w:lang w:val="en-US" w:eastAsia="zh-CN" w:bidi="ar"/>
              </w:rPr>
              <w:t>员工参与健康与安全。</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11244">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96A12">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11689">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EC078">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6D89B">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B6DF0">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30067">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r>
    </w:tbl>
    <w:p w14:paraId="687CC1A0"/>
    <w:p w14:paraId="0C7C1A65">
      <w:pPr>
        <w:pStyle w:val="10"/>
        <w:spacing w:line="360" w:lineRule="auto"/>
        <w:rPr>
          <w:rFonts w:hint="eastAsia" w:asciiTheme="minorEastAsia" w:hAnsiTheme="minorEastAsia" w:eastAsiaTheme="minorEastAsia" w:cstheme="minorEastAsia"/>
          <w:sz w:val="16"/>
          <w:szCs w:val="16"/>
          <w:lang w:val="en-US" w:eastAsia="zh-CN"/>
        </w:rPr>
        <w:sectPr>
          <w:pgSz w:w="11907" w:h="16840"/>
          <w:pgMar w:top="1134" w:right="1418" w:bottom="1134" w:left="1418" w:header="737" w:footer="737" w:gutter="0"/>
          <w:cols w:space="425" w:num="1"/>
          <w:docGrid w:linePitch="312" w:charSpace="0"/>
        </w:sectPr>
      </w:pPr>
      <w:r>
        <w:rPr>
          <w:rFonts w:hint="eastAsia" w:asciiTheme="minorEastAsia" w:hAnsiTheme="minorEastAsia" w:eastAsiaTheme="minorEastAsia" w:cstheme="minorEastAsia"/>
          <w:sz w:val="16"/>
          <w:szCs w:val="16"/>
          <w:lang w:val="en-US" w:eastAsia="zh-CN"/>
        </w:rPr>
        <w:t>备注：管理职能与各部门的关系打“</w:t>
      </w:r>
      <w:r>
        <w:rPr>
          <w:rFonts w:hint="eastAsia" w:asciiTheme="minorEastAsia" w:hAnsiTheme="minorEastAsia" w:eastAsiaTheme="minorEastAsia" w:cstheme="minorEastAsia"/>
          <w:i w:val="0"/>
          <w:iCs w:val="0"/>
          <w:color w:val="000000"/>
          <w:kern w:val="0"/>
          <w:sz w:val="16"/>
          <w:szCs w:val="16"/>
          <w:u w:val="none"/>
          <w:lang w:val="en-US" w:eastAsia="zh-CN" w:bidi="ar"/>
        </w:rPr>
        <w:t>●</w:t>
      </w:r>
      <w:r>
        <w:rPr>
          <w:rFonts w:hint="eastAsia" w:asciiTheme="minorEastAsia" w:hAnsiTheme="minorEastAsia" w:eastAsiaTheme="minorEastAsia" w:cstheme="minorEastAsia"/>
          <w:sz w:val="16"/>
          <w:szCs w:val="16"/>
          <w:lang w:val="en-US" w:eastAsia="zh-CN"/>
        </w:rPr>
        <w:t>”主要负责部门，打</w:t>
      </w:r>
      <w:r>
        <w:rPr>
          <w:rFonts w:hint="eastAsia" w:asciiTheme="minorEastAsia" w:hAnsiTheme="minorEastAsia" w:eastAsiaTheme="minorEastAsia" w:cstheme="minorEastAsia"/>
          <w:i w:val="0"/>
          <w:iCs w:val="0"/>
          <w:color w:val="000000"/>
          <w:kern w:val="0"/>
          <w:sz w:val="16"/>
          <w:szCs w:val="16"/>
          <w:u w:val="none"/>
          <w:lang w:val="en-US" w:eastAsia="zh-CN" w:bidi="ar"/>
        </w:rPr>
        <w:t>“ ○”为相关部门</w:t>
      </w:r>
    </w:p>
    <w:p w14:paraId="1EC861CC">
      <w:pPr>
        <w:pStyle w:val="10"/>
        <w:spacing w:line="360" w:lineRule="auto"/>
        <w:rPr>
          <w:rFonts w:hint="eastAsia" w:ascii="宋体" w:hAnsi="宋体" w:eastAsia="宋体" w:cs="宋体"/>
          <w:b/>
          <w:bCs/>
          <w:sz w:val="24"/>
          <w:szCs w:val="24"/>
        </w:rPr>
      </w:pPr>
      <w:r>
        <w:rPr>
          <w:rFonts w:hint="eastAsia" w:ascii="宋体" w:hAnsi="宋体" w:eastAsia="宋体" w:cs="宋体"/>
          <w:b/>
          <w:bCs/>
          <w:sz w:val="24"/>
          <w:szCs w:val="24"/>
        </w:rPr>
        <w:t>0.7.2组织结构图</w:t>
      </w:r>
    </w:p>
    <w:p w14:paraId="622F8D76">
      <w:pPr>
        <w:spacing w:line="360" w:lineRule="auto"/>
        <w:rPr>
          <w:rFonts w:eastAsiaTheme="minorEastAsia"/>
          <w:sz w:val="24"/>
        </w:rPr>
      </w:pPr>
      <w:r>
        <w:drawing>
          <wp:anchor distT="0" distB="0" distL="114300" distR="114300" simplePos="0" relativeHeight="251671552" behindDoc="0" locked="0" layoutInCell="1" allowOverlap="1">
            <wp:simplePos x="0" y="0"/>
            <wp:positionH relativeFrom="column">
              <wp:posOffset>612775</wp:posOffset>
            </wp:positionH>
            <wp:positionV relativeFrom="paragraph">
              <wp:posOffset>161290</wp:posOffset>
            </wp:positionV>
            <wp:extent cx="8228330" cy="5403215"/>
            <wp:effectExtent l="0" t="0" r="0" b="0"/>
            <wp:wrapSquare wrapText="bothSides"/>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3"/>
                    <a:srcRect l="647" t="845" r="-470" b="717"/>
                    <a:stretch>
                      <a:fillRect/>
                    </a:stretch>
                  </pic:blipFill>
                  <pic:spPr>
                    <a:xfrm>
                      <a:off x="0" y="0"/>
                      <a:ext cx="8228330" cy="5403215"/>
                    </a:xfrm>
                    <a:prstGeom prst="rect">
                      <a:avLst/>
                    </a:prstGeom>
                    <a:noFill/>
                    <a:ln>
                      <a:noFill/>
                    </a:ln>
                  </pic:spPr>
                </pic:pic>
              </a:graphicData>
            </a:graphic>
          </wp:anchor>
        </w:drawing>
      </w:r>
    </w:p>
    <w:p w14:paraId="297465CB">
      <w:pPr>
        <w:pStyle w:val="10"/>
        <w:spacing w:line="360" w:lineRule="auto"/>
        <w:rPr>
          <w:rFonts w:ascii="Times New Roman" w:hAnsi="Times New Roman" w:eastAsiaTheme="minorEastAsia"/>
          <w:sz w:val="24"/>
          <w:szCs w:val="24"/>
        </w:rPr>
      </w:pPr>
    </w:p>
    <w:p w14:paraId="17F57C23">
      <w:pPr>
        <w:pStyle w:val="10"/>
        <w:spacing w:line="360" w:lineRule="auto"/>
        <w:rPr>
          <w:rFonts w:ascii="Times New Roman" w:hAnsi="Times New Roman" w:eastAsiaTheme="minorEastAsia"/>
          <w:sz w:val="24"/>
          <w:szCs w:val="24"/>
        </w:rPr>
        <w:sectPr>
          <w:pgSz w:w="16840" w:h="11907" w:orient="landscape"/>
          <w:pgMar w:top="1418" w:right="1134" w:bottom="1418" w:left="1134" w:header="737" w:footer="737" w:gutter="0"/>
          <w:cols w:space="425" w:num="1"/>
          <w:docGrid w:linePitch="312" w:charSpace="0"/>
        </w:sectPr>
      </w:pPr>
    </w:p>
    <w:p w14:paraId="56C148B0">
      <w:pPr>
        <w:pStyle w:val="25"/>
        <w:spacing w:before="0" w:after="0" w:line="360" w:lineRule="auto"/>
        <w:rPr>
          <w:rFonts w:hint="eastAsia" w:ascii="微软雅黑" w:hAnsi="微软雅黑" w:eastAsia="微软雅黑" w:cs="微软雅黑"/>
          <w:sz w:val="30"/>
          <w:szCs w:val="30"/>
        </w:rPr>
      </w:pPr>
      <w:bookmarkStart w:id="17" w:name="_Toc4254"/>
      <w:r>
        <w:rPr>
          <w:rFonts w:hint="eastAsia" w:ascii="微软雅黑" w:hAnsi="微软雅黑" w:eastAsia="微软雅黑" w:cs="微软雅黑"/>
          <w:sz w:val="30"/>
          <w:szCs w:val="30"/>
        </w:rPr>
        <w:t>1</w:t>
      </w:r>
      <w:r>
        <w:rPr>
          <w:rFonts w:hint="eastAsia" w:ascii="微软雅黑" w:hAnsi="微软雅黑" w:eastAsia="微软雅黑" w:cs="微软雅黑"/>
          <w:sz w:val="30"/>
          <w:szCs w:val="30"/>
          <w:lang w:val="en-US" w:eastAsia="zh-CN"/>
        </w:rPr>
        <w:t xml:space="preserve"> </w:t>
      </w:r>
      <w:r>
        <w:rPr>
          <w:rFonts w:hint="eastAsia" w:ascii="微软雅黑" w:hAnsi="微软雅黑" w:eastAsia="微软雅黑" w:cs="微软雅黑"/>
          <w:sz w:val="30"/>
          <w:szCs w:val="30"/>
        </w:rPr>
        <w:t>企业诚信</w:t>
      </w:r>
      <w:bookmarkEnd w:id="17"/>
    </w:p>
    <w:p w14:paraId="20D84414">
      <w:pPr>
        <w:spacing w:line="360" w:lineRule="auto"/>
        <w:rPr>
          <w:rFonts w:eastAsiaTheme="minorEastAsia"/>
          <w:sz w:val="24"/>
          <w:szCs w:val="24"/>
        </w:rPr>
      </w:pPr>
      <w:r>
        <w:rPr>
          <w:rFonts w:eastAsiaTheme="minorEastAsia"/>
          <w:sz w:val="24"/>
          <w:szCs w:val="24"/>
        </w:rPr>
        <w:t>原则：应按照高的诚信及合规标准开展业务。</w:t>
      </w:r>
    </w:p>
    <w:p w14:paraId="6FE47262">
      <w:pPr>
        <w:pStyle w:val="2"/>
        <w:spacing w:line="360" w:lineRule="auto"/>
        <w:rPr>
          <w:rFonts w:hint="eastAsia" w:ascii="宋体" w:hAnsi="宋体" w:eastAsia="宋体" w:cs="宋体"/>
          <w:b/>
          <w:szCs w:val="24"/>
        </w:rPr>
      </w:pPr>
      <w:bookmarkStart w:id="18" w:name="_Toc18989"/>
      <w:r>
        <w:rPr>
          <w:rFonts w:hint="eastAsia" w:ascii="宋体" w:hAnsi="宋体" w:eastAsia="宋体" w:cs="宋体"/>
          <w:b/>
          <w:szCs w:val="24"/>
        </w:rPr>
        <w:t>1.1</w:t>
      </w:r>
      <w:r>
        <w:rPr>
          <w:rFonts w:hint="eastAsia" w:ascii="宋体" w:hAnsi="宋体" w:eastAsia="宋体" w:cs="宋体"/>
          <w:b/>
          <w:szCs w:val="24"/>
          <w:lang w:val="en-US" w:eastAsia="zh-CN"/>
        </w:rPr>
        <w:t>法律的合规性</w:t>
      </w:r>
      <w:bookmarkEnd w:id="18"/>
      <w:r>
        <w:rPr>
          <w:rFonts w:hint="eastAsia" w:ascii="宋体" w:hAnsi="宋体" w:eastAsia="宋体" w:cs="宋体"/>
          <w:b/>
          <w:szCs w:val="24"/>
        </w:rPr>
        <w:t xml:space="preserve"> </w:t>
      </w:r>
    </w:p>
    <w:p w14:paraId="2A050A2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eastAsiaTheme="minorEastAsia"/>
          <w:sz w:val="24"/>
        </w:rPr>
      </w:pPr>
      <w:r>
        <w:rPr>
          <w:rFonts w:eastAsiaTheme="minorEastAsia"/>
          <w:sz w:val="24"/>
        </w:rPr>
        <w:t>为了确保公司对适用法律和法规及其他要求的持续识别和遵守，集团聘请具有律师资质的人员负责公司合规经营的保障工作，为公司提供必要的法律支持。</w:t>
      </w:r>
    </w:p>
    <w:p w14:paraId="1E6300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eastAsiaTheme="minorEastAsia"/>
          <w:sz w:val="24"/>
        </w:rPr>
      </w:pPr>
      <w:r>
        <w:rPr>
          <w:rFonts w:eastAsiaTheme="minorEastAsia"/>
          <w:sz w:val="24"/>
        </w:rPr>
        <w:t>公司</w:t>
      </w:r>
      <w:r>
        <w:rPr>
          <w:rFonts w:eastAsiaTheme="minorEastAsia"/>
          <w:sz w:val="24"/>
          <w:highlight w:val="none"/>
        </w:rPr>
        <w:t>在质量、环境和职业健康安全管理体系中分别建立了</w:t>
      </w:r>
      <w:r>
        <w:rPr>
          <w:rFonts w:eastAsiaTheme="minorEastAsia"/>
          <w:color w:val="auto"/>
          <w:sz w:val="24"/>
          <w:highlight w:val="none"/>
        </w:rPr>
        <w:t>《法律法规</w:t>
      </w:r>
      <w:r>
        <w:rPr>
          <w:rFonts w:hint="eastAsia" w:eastAsiaTheme="minorEastAsia"/>
          <w:color w:val="auto"/>
          <w:sz w:val="24"/>
          <w:highlight w:val="none"/>
          <w:lang w:val="en-US" w:eastAsia="zh-CN"/>
        </w:rPr>
        <w:t>识别</w:t>
      </w:r>
      <w:r>
        <w:rPr>
          <w:rFonts w:eastAsiaTheme="minorEastAsia"/>
          <w:color w:val="auto"/>
          <w:sz w:val="24"/>
          <w:highlight w:val="none"/>
        </w:rPr>
        <w:t>控制程序》《合规性评价控制程序》，</w:t>
      </w:r>
      <w:r>
        <w:rPr>
          <w:rFonts w:hint="eastAsia" w:eastAsiaTheme="minorEastAsia"/>
          <w:color w:val="auto"/>
          <w:sz w:val="24"/>
          <w:lang w:val="en-US" w:eastAsia="zh-CN"/>
        </w:rPr>
        <w:t>管理部</w:t>
      </w:r>
      <w:r>
        <w:rPr>
          <w:rFonts w:eastAsiaTheme="minorEastAsia"/>
          <w:sz w:val="24"/>
        </w:rPr>
        <w:t>按照程序要求，对相关质量经营、环境保护、职业健康安全、社会人权和公司治理等方面的法律、法规、标准及其他要求进行收集，并负责确认其适用性，并形成《法律法规和其他要求清单》并定期更新公布，使相关人员能够及时获取法律、法规和相关的要求的规定内容。</w:t>
      </w:r>
    </w:p>
    <w:p w14:paraId="571E32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eastAsiaTheme="minorEastAsia"/>
          <w:sz w:val="24"/>
        </w:rPr>
      </w:pPr>
      <w:r>
        <w:rPr>
          <w:rFonts w:hint="eastAsia" w:eastAsiaTheme="minorEastAsia"/>
          <w:sz w:val="24"/>
          <w:lang w:val="en-US" w:eastAsia="zh-CN"/>
        </w:rPr>
        <w:t>管理部</w:t>
      </w:r>
      <w:r>
        <w:rPr>
          <w:rFonts w:eastAsiaTheme="minorEastAsia"/>
          <w:sz w:val="24"/>
        </w:rPr>
        <w:t>定期组织各相关的工作部门和人员，针对确定的法律、法规和相关要求所规定的内容，在开展各项管理和业务活动中务必遵守法律、法规和相关要求。当法规的要求涉及到公司外部的合作伙伴时，与之对接的部门需将法规的要求通知给外部的合作方，必要时提供培训，以使相关方能够理解法律和法规的要求。</w:t>
      </w:r>
    </w:p>
    <w:p w14:paraId="3C7906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eastAsiaTheme="minorEastAsia"/>
          <w:sz w:val="24"/>
        </w:rPr>
      </w:pPr>
      <w:r>
        <w:rPr>
          <w:rFonts w:hint="eastAsia" w:eastAsiaTheme="minorEastAsia"/>
          <w:sz w:val="24"/>
          <w:lang w:val="en-US" w:eastAsia="zh-CN"/>
        </w:rPr>
        <w:t>管理部</w:t>
      </w:r>
      <w:r>
        <w:rPr>
          <w:rFonts w:eastAsiaTheme="minorEastAsia"/>
          <w:sz w:val="24"/>
        </w:rPr>
        <w:t>在每年管理评审前，组织开展合规性评价活动。根据公司各部门的经营业务活动的实施情况，对照公司识别出的法律和法规要求，进行评价，确定公司对法律法规和相关方要求等构成合规义务的内容的合规遵循情况。</w:t>
      </w:r>
    </w:p>
    <w:p w14:paraId="09E90E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eastAsiaTheme="minorEastAsia"/>
          <w:sz w:val="24"/>
        </w:rPr>
      </w:pPr>
      <w:r>
        <w:rPr>
          <w:rFonts w:eastAsiaTheme="minorEastAsia"/>
          <w:sz w:val="24"/>
        </w:rPr>
        <w:t>在合规性评价过程中，如发现存在公司的活动或实施结果与合规义务存在差距时，按照《合规性评价控制程序》进行控制。</w:t>
      </w:r>
    </w:p>
    <w:p w14:paraId="4CD13002">
      <w:pPr>
        <w:keepNext w:val="0"/>
        <w:keepLines w:val="0"/>
        <w:pageBreakBefore w:val="0"/>
        <w:widowControl w:val="0"/>
        <w:kinsoku/>
        <w:wordWrap/>
        <w:overflowPunct/>
        <w:topLinePunct w:val="0"/>
        <w:autoSpaceDE/>
        <w:autoSpaceDN/>
        <w:bidi w:val="0"/>
        <w:adjustRightInd/>
        <w:snapToGrid/>
        <w:spacing w:line="360" w:lineRule="auto"/>
        <w:textAlignment w:val="auto"/>
        <w:rPr>
          <w:rFonts w:eastAsiaTheme="minorEastAsia"/>
          <w:sz w:val="24"/>
        </w:rPr>
      </w:pPr>
      <w:r>
        <w:rPr>
          <w:rFonts w:eastAsiaTheme="minorEastAsia"/>
          <w:sz w:val="24"/>
        </w:rPr>
        <w:t>本条支持文件：</w:t>
      </w:r>
    </w:p>
    <w:p w14:paraId="102B92E6">
      <w:pPr>
        <w:keepNext w:val="0"/>
        <w:keepLines w:val="0"/>
        <w:pageBreakBefore w:val="0"/>
        <w:widowControl w:val="0"/>
        <w:kinsoku/>
        <w:wordWrap/>
        <w:overflowPunct/>
        <w:topLinePunct w:val="0"/>
        <w:autoSpaceDE/>
        <w:autoSpaceDN/>
        <w:bidi w:val="0"/>
        <w:adjustRightInd/>
        <w:snapToGrid/>
        <w:spacing w:line="360" w:lineRule="auto"/>
        <w:textAlignment w:val="auto"/>
        <w:rPr>
          <w:rFonts w:eastAsiaTheme="minorEastAsia"/>
          <w:sz w:val="21"/>
          <w:szCs w:val="21"/>
        </w:rPr>
      </w:pPr>
      <w:r>
        <w:rPr>
          <w:rFonts w:eastAsiaTheme="minorEastAsia"/>
          <w:sz w:val="21"/>
          <w:szCs w:val="21"/>
        </w:rPr>
        <w:t>质量、环境和职业健康安全管理体系</w:t>
      </w:r>
    </w:p>
    <w:p w14:paraId="72AF30AF">
      <w:pPr>
        <w:keepNext w:val="0"/>
        <w:keepLines w:val="0"/>
        <w:pageBreakBefore w:val="0"/>
        <w:widowControl w:val="0"/>
        <w:kinsoku/>
        <w:wordWrap/>
        <w:overflowPunct/>
        <w:topLinePunct w:val="0"/>
        <w:autoSpaceDE/>
        <w:autoSpaceDN/>
        <w:bidi w:val="0"/>
        <w:adjustRightInd/>
        <w:snapToGrid/>
        <w:spacing w:line="360" w:lineRule="auto"/>
        <w:textAlignment w:val="auto"/>
        <w:rPr>
          <w:rFonts w:eastAsiaTheme="minorEastAsia"/>
          <w:sz w:val="21"/>
          <w:szCs w:val="21"/>
        </w:rPr>
      </w:pPr>
      <w:r>
        <w:rPr>
          <w:rFonts w:eastAsiaTheme="minorEastAsia"/>
          <w:sz w:val="21"/>
          <w:szCs w:val="21"/>
        </w:rPr>
        <w:t>《法律法规</w:t>
      </w:r>
      <w:r>
        <w:rPr>
          <w:rFonts w:hint="eastAsia" w:eastAsiaTheme="minorEastAsia"/>
          <w:sz w:val="21"/>
          <w:szCs w:val="21"/>
          <w:lang w:val="en-US" w:eastAsia="zh-CN"/>
        </w:rPr>
        <w:t>识别</w:t>
      </w:r>
      <w:r>
        <w:rPr>
          <w:rFonts w:eastAsiaTheme="minorEastAsia"/>
          <w:sz w:val="21"/>
          <w:szCs w:val="21"/>
        </w:rPr>
        <w:t>控制程序》</w:t>
      </w:r>
    </w:p>
    <w:p w14:paraId="45EB8D14">
      <w:pPr>
        <w:keepNext w:val="0"/>
        <w:keepLines w:val="0"/>
        <w:pageBreakBefore w:val="0"/>
        <w:widowControl w:val="0"/>
        <w:kinsoku/>
        <w:wordWrap/>
        <w:overflowPunct/>
        <w:topLinePunct w:val="0"/>
        <w:autoSpaceDE/>
        <w:autoSpaceDN/>
        <w:bidi w:val="0"/>
        <w:adjustRightInd/>
        <w:snapToGrid/>
        <w:spacing w:line="360" w:lineRule="auto"/>
        <w:textAlignment w:val="auto"/>
        <w:rPr>
          <w:rFonts w:eastAsiaTheme="minorEastAsia"/>
          <w:sz w:val="21"/>
          <w:szCs w:val="21"/>
        </w:rPr>
      </w:pPr>
      <w:r>
        <w:rPr>
          <w:rFonts w:eastAsiaTheme="minorEastAsia"/>
          <w:sz w:val="21"/>
          <w:szCs w:val="21"/>
        </w:rPr>
        <w:t>《合规性评价控制程序》</w:t>
      </w:r>
    </w:p>
    <w:p w14:paraId="03DF0216">
      <w:pPr>
        <w:pStyle w:val="2"/>
        <w:spacing w:line="360" w:lineRule="auto"/>
        <w:rPr>
          <w:rFonts w:hint="eastAsia" w:ascii="宋体" w:hAnsi="宋体" w:eastAsia="宋体" w:cs="宋体"/>
          <w:b/>
          <w:szCs w:val="24"/>
        </w:rPr>
      </w:pPr>
      <w:bookmarkStart w:id="19" w:name="_Toc24286"/>
      <w:r>
        <w:rPr>
          <w:rFonts w:hint="eastAsia" w:ascii="宋体" w:hAnsi="宋体" w:eastAsia="宋体" w:cs="宋体"/>
          <w:b/>
          <w:szCs w:val="24"/>
        </w:rPr>
        <w:t>1.2 反腐败</w:t>
      </w:r>
      <w:bookmarkEnd w:id="19"/>
    </w:p>
    <w:p w14:paraId="1D5FC3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公司在开展经营和管理活动的过程中，反对一切形式的腐败（包括敲诈和贿赂）。为此公司制定了《反贿赂道德规范》，识别了衍生腐败的重点环节、重点</w:t>
      </w:r>
      <w:r>
        <w:rPr>
          <w:rFonts w:hint="eastAsia" w:ascii="宋体" w:hAnsi="宋体" w:eastAsia="宋体" w:cs="宋体"/>
          <w:sz w:val="24"/>
          <w:lang w:val="en-US" w:eastAsia="zh-CN"/>
        </w:rPr>
        <w:t>岗位</w:t>
      </w:r>
      <w:r>
        <w:rPr>
          <w:rFonts w:hint="eastAsia" w:ascii="宋体" w:hAnsi="宋体" w:eastAsia="宋体" w:cs="宋体"/>
          <w:sz w:val="24"/>
        </w:rPr>
        <w:t>人员，对重点环节、重点</w:t>
      </w:r>
      <w:r>
        <w:rPr>
          <w:rFonts w:hint="eastAsia" w:ascii="宋体" w:hAnsi="宋体" w:eastAsia="宋体" w:cs="宋体"/>
          <w:sz w:val="24"/>
          <w:lang w:val="en-US" w:eastAsia="zh-CN"/>
        </w:rPr>
        <w:t>岗位</w:t>
      </w:r>
      <w:r>
        <w:rPr>
          <w:rFonts w:hint="eastAsia" w:ascii="宋体" w:hAnsi="宋体" w:eastAsia="宋体" w:cs="宋体"/>
          <w:sz w:val="24"/>
        </w:rPr>
        <w:t>人员实行预防商业贿赂承诺制，重要岗位人员个人向公司签订《反贿赂/反腐败承诺书》，公司鼓励员工及有业务来往的公司检举揭发腐败行为，员工应严格遵守公司“任职回避”和“公务回避”的有关要求。管理部负责组织建立反腐败/贿赂的风险机制，对贿赂风险进行识别，实施风险评估，制定反腐败措施，以预防和处置潜在的贿赂风险。</w:t>
      </w:r>
    </w:p>
    <w:p w14:paraId="7DDF10C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支持文件：</w:t>
      </w:r>
    </w:p>
    <w:p w14:paraId="709658D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《反贿赂道德规范》</w:t>
      </w:r>
    </w:p>
    <w:p w14:paraId="5DF149FF">
      <w:pPr>
        <w:pStyle w:val="2"/>
        <w:spacing w:line="360" w:lineRule="auto"/>
        <w:rPr>
          <w:rFonts w:hint="eastAsia" w:ascii="宋体" w:hAnsi="宋体" w:eastAsia="宋体" w:cs="宋体"/>
          <w:b/>
          <w:szCs w:val="24"/>
        </w:rPr>
      </w:pPr>
      <w:bookmarkStart w:id="20" w:name="_Toc15650"/>
      <w:r>
        <w:rPr>
          <w:rFonts w:hint="eastAsia" w:ascii="宋体" w:hAnsi="宋体" w:eastAsia="宋体" w:cs="宋体"/>
          <w:b/>
          <w:szCs w:val="24"/>
        </w:rPr>
        <w:t>1.3行为准则</w:t>
      </w:r>
      <w:bookmarkEnd w:id="20"/>
    </w:p>
    <w:p w14:paraId="0CB096C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为了确保公司更好的履行ASI责任，使公司的ASI绩效符合要求，公司做出承诺，形成公司的总体行为准则如下：</w:t>
      </w:r>
    </w:p>
    <w:p w14:paraId="6D9418C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b w:val="0"/>
          <w:bCs w:val="0"/>
          <w:sz w:val="24"/>
        </w:rPr>
        <w:t>1.3.1公司的环境行为准则：</w:t>
      </w:r>
    </w:p>
    <w:p w14:paraId="658803C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1）减少原物料和能源的使用消耗；</w:t>
      </w:r>
    </w:p>
    <w:p w14:paraId="2E06CA9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2）优先使用可再生、可循环利用的原物料和清洁能源；</w:t>
      </w:r>
    </w:p>
    <w:p w14:paraId="55967A5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3）降低生产和经营过程中污水、废气、噪声和固体废弃物的排放；</w:t>
      </w:r>
    </w:p>
    <w:p w14:paraId="08DF34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4）致力于公司的产品实现资源化、减量化、无害化；</w:t>
      </w:r>
    </w:p>
    <w:p w14:paraId="12DAAF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5）减少向外界排放温室气体和有害物质；</w:t>
      </w:r>
    </w:p>
    <w:p w14:paraId="17E573B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6）接收各方对公司环境绩效的监督；</w:t>
      </w:r>
    </w:p>
    <w:p w14:paraId="5894898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7）对外界的环境反馈快速响应。</w:t>
      </w:r>
    </w:p>
    <w:p w14:paraId="556C97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rPr>
      </w:pPr>
      <w:r>
        <w:rPr>
          <w:rFonts w:hint="eastAsia" w:ascii="宋体" w:hAnsi="宋体" w:eastAsia="宋体" w:cs="宋体"/>
          <w:b w:val="0"/>
          <w:bCs w:val="0"/>
          <w:sz w:val="24"/>
        </w:rPr>
        <w:t>1.3.2公司的社会行为准则：</w:t>
      </w:r>
    </w:p>
    <w:p w14:paraId="420DF69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1）拒绝使用童工和未成年工；</w:t>
      </w:r>
    </w:p>
    <w:p w14:paraId="2CB9798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2）保证尊重妇女、原住民权益；</w:t>
      </w:r>
    </w:p>
    <w:p w14:paraId="62785A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rPr>
      </w:pPr>
      <w:r>
        <w:rPr>
          <w:rFonts w:hint="eastAsia" w:ascii="宋体" w:hAnsi="宋体" w:eastAsia="宋体" w:cs="宋体"/>
          <w:color w:val="auto"/>
          <w:sz w:val="24"/>
        </w:rPr>
        <w:t>3）</w:t>
      </w:r>
      <w:r>
        <w:rPr>
          <w:rFonts w:hint="eastAsia" w:ascii="宋体" w:hAnsi="宋体" w:eastAsia="宋体" w:cs="宋体"/>
          <w:color w:val="auto"/>
          <w:sz w:val="24"/>
          <w:lang w:val="en-US" w:eastAsia="zh-CN"/>
        </w:rPr>
        <w:t>明确新改扩建项目不在</w:t>
      </w:r>
      <w:r>
        <w:rPr>
          <w:rFonts w:hint="eastAsia" w:ascii="宋体" w:hAnsi="宋体" w:eastAsia="宋体" w:cs="宋体"/>
          <w:color w:val="auto"/>
          <w:sz w:val="24"/>
        </w:rPr>
        <w:t>文化遗产</w:t>
      </w:r>
      <w:r>
        <w:rPr>
          <w:rFonts w:hint="eastAsia" w:ascii="宋体" w:hAnsi="宋体" w:eastAsia="宋体" w:cs="宋体"/>
          <w:color w:val="auto"/>
          <w:sz w:val="24"/>
          <w:lang w:eastAsia="zh-CN"/>
        </w:rPr>
        <w:t>、</w:t>
      </w:r>
      <w:r>
        <w:rPr>
          <w:rFonts w:hint="eastAsia" w:ascii="宋体" w:hAnsi="宋体" w:eastAsia="宋体" w:cs="宋体"/>
          <w:color w:val="auto"/>
          <w:sz w:val="24"/>
        </w:rPr>
        <w:t>宗教圣地</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保护区选址</w:t>
      </w:r>
      <w:r>
        <w:rPr>
          <w:rFonts w:hint="eastAsia" w:ascii="宋体" w:hAnsi="宋体" w:eastAsia="宋体" w:cs="宋体"/>
          <w:color w:val="auto"/>
          <w:sz w:val="24"/>
        </w:rPr>
        <w:t>，</w:t>
      </w:r>
      <w:r>
        <w:rPr>
          <w:rFonts w:hint="eastAsia" w:ascii="宋体" w:hAnsi="宋体" w:eastAsia="宋体" w:cs="宋体"/>
          <w:color w:val="auto"/>
          <w:sz w:val="24"/>
          <w:lang w:val="en-US" w:eastAsia="zh-CN"/>
        </w:rPr>
        <w:t>如有已发生应</w:t>
      </w:r>
      <w:r>
        <w:rPr>
          <w:rFonts w:hint="eastAsia" w:ascii="宋体" w:hAnsi="宋体" w:eastAsia="宋体" w:cs="宋体"/>
          <w:color w:val="auto"/>
          <w:sz w:val="24"/>
        </w:rPr>
        <w:t>保证与受影响社区协商以确保其价值；</w:t>
      </w:r>
    </w:p>
    <w:p w14:paraId="3E37C97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4）如项目需要重新安置，按照法律法规、客户和铝业管理倡议（ASI）要求制定重新安置计划进行安置；</w:t>
      </w:r>
    </w:p>
    <w:p w14:paraId="7D39A58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5）保证促进劳资双方的关系，鼓励并保护员工积极参与公司各项事务；</w:t>
      </w:r>
    </w:p>
    <w:p w14:paraId="2791676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6）尊重员工的集体谈判和协商权利，每年组织和员工进行集体协商；</w:t>
      </w:r>
    </w:p>
    <w:p w14:paraId="10385EB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7）为员工提供合理的报酬及安全舒适的工作环境；</w:t>
      </w:r>
    </w:p>
    <w:p w14:paraId="5D956D5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8）符合《中华人民共和国劳动法》的要求，并在此基础上依公司业务状况持续改善员工福利；</w:t>
      </w:r>
    </w:p>
    <w:p w14:paraId="48906F8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9）不使用冲突和高风险地区的产品或服务；</w:t>
      </w:r>
    </w:p>
    <w:p w14:paraId="6814895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10）对安保人员进行教育培训，保证安保人员在尊重人权的原则下保护人员、财产或资产。</w:t>
      </w:r>
    </w:p>
    <w:p w14:paraId="76E5472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rPr>
      </w:pPr>
      <w:r>
        <w:rPr>
          <w:rFonts w:hint="eastAsia" w:ascii="宋体" w:hAnsi="宋体" w:eastAsia="宋体" w:cs="宋体"/>
          <w:b w:val="0"/>
          <w:bCs w:val="0"/>
          <w:sz w:val="24"/>
        </w:rPr>
        <w:t>1.3.3公司的治理行为准则：</w:t>
      </w:r>
    </w:p>
    <w:p w14:paraId="54E8D6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1）识别适用的法律法规以及合规义务要求，并确保遵守；</w:t>
      </w:r>
    </w:p>
    <w:p w14:paraId="038B124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2）保证反对一切形式的腐败，包括敲诈和贿赂；</w:t>
      </w:r>
    </w:p>
    <w:p w14:paraId="0949EE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3）保证公司的可持续发展情况透明化并及时与内外部进行沟通；</w:t>
      </w:r>
    </w:p>
    <w:p w14:paraId="7454B4C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4）定期与社区沟通，尊重和提供支持社区生计的机会；</w:t>
      </w:r>
    </w:p>
    <w:p w14:paraId="70A961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5）打造诚信、高效的管理团队；</w:t>
      </w:r>
    </w:p>
    <w:p w14:paraId="2D20D2E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r>
        <w:rPr>
          <w:rFonts w:hint="eastAsia" w:ascii="宋体" w:hAnsi="宋体" w:eastAsia="宋体" w:cs="宋体"/>
          <w:sz w:val="24"/>
        </w:rPr>
        <w:t>6）推动整个供应链负责任经营。</w:t>
      </w:r>
    </w:p>
    <w:p w14:paraId="38288D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公司在上述行为准则的基础上，建立了与行为准则保持一致的支持性管理体系，如质量、环境和职业健康安全管理体系等，在公司各个业务部门的工作中建立了一系列的管理制度和工作程序，对具体过程和预期达到的结果进行了规定，这些文件也构成了公司行为准则的一部分。</w:t>
      </w:r>
    </w:p>
    <w:p w14:paraId="52DB483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rPr>
      </w:pPr>
    </w:p>
    <w:p w14:paraId="159F7D93">
      <w:pPr>
        <w:pStyle w:val="25"/>
        <w:keepNext w:val="0"/>
        <w:keepLines w:val="0"/>
        <w:pageBreakBefore w:val="0"/>
        <w:widowControl w:val="0"/>
        <w:kinsoku/>
        <w:wordWrap/>
        <w:overflowPunct/>
        <w:topLinePunct w:val="0"/>
        <w:autoSpaceDE/>
        <w:autoSpaceDN/>
        <w:bidi w:val="0"/>
        <w:adjustRightInd/>
        <w:snapToGrid/>
        <w:spacing w:before="0" w:after="0" w:line="360" w:lineRule="auto"/>
        <w:textAlignment w:val="auto"/>
        <w:outlineLvl w:val="9"/>
        <w:rPr>
          <w:rFonts w:hint="eastAsia" w:ascii="宋体" w:hAnsi="宋体" w:eastAsia="宋体" w:cs="宋体"/>
          <w:sz w:val="24"/>
          <w:szCs w:val="24"/>
        </w:rPr>
        <w:sectPr>
          <w:pgSz w:w="11907" w:h="16840"/>
          <w:pgMar w:top="1134" w:right="1418" w:bottom="1134" w:left="1418" w:header="737" w:footer="737" w:gutter="0"/>
          <w:cols w:space="425" w:num="1"/>
          <w:docGrid w:linePitch="312" w:charSpace="0"/>
        </w:sectPr>
      </w:pPr>
    </w:p>
    <w:p w14:paraId="53709977">
      <w:pPr>
        <w:pStyle w:val="25"/>
        <w:spacing w:before="0" w:after="0" w:line="360" w:lineRule="auto"/>
        <w:rPr>
          <w:rFonts w:hint="eastAsia" w:ascii="微软雅黑" w:hAnsi="微软雅黑" w:eastAsia="微软雅黑" w:cs="微软雅黑"/>
          <w:sz w:val="30"/>
          <w:szCs w:val="30"/>
        </w:rPr>
      </w:pPr>
      <w:bookmarkStart w:id="21" w:name="_Toc27647"/>
      <w:r>
        <w:rPr>
          <w:rFonts w:hint="eastAsia" w:ascii="微软雅黑" w:hAnsi="微软雅黑" w:eastAsia="微软雅黑" w:cs="微软雅黑"/>
          <w:sz w:val="30"/>
          <w:szCs w:val="30"/>
        </w:rPr>
        <w:t>2方针与管理</w:t>
      </w:r>
      <w:bookmarkEnd w:id="21"/>
    </w:p>
    <w:p w14:paraId="1DFCCCC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原则:公司致力于健全对环境、社会和治理过程的良好管理。</w:t>
      </w:r>
    </w:p>
    <w:p w14:paraId="43273D75">
      <w:pPr>
        <w:pStyle w:val="2"/>
        <w:spacing w:line="360" w:lineRule="auto"/>
        <w:rPr>
          <w:rFonts w:hint="eastAsia" w:asciiTheme="minorEastAsia" w:hAnsiTheme="minorEastAsia" w:eastAsiaTheme="minorEastAsia" w:cstheme="minorEastAsia"/>
          <w:b/>
          <w:szCs w:val="24"/>
        </w:rPr>
      </w:pPr>
      <w:bookmarkStart w:id="22" w:name="_Toc26205"/>
      <w:r>
        <w:rPr>
          <w:rFonts w:hint="eastAsia" w:asciiTheme="minorEastAsia" w:hAnsiTheme="minorEastAsia" w:eastAsiaTheme="minorEastAsia" w:cstheme="minorEastAsia"/>
          <w:b/>
          <w:szCs w:val="24"/>
        </w:rPr>
        <w:t>2.1环境、社会和治理方针</w:t>
      </w:r>
      <w:bookmarkEnd w:id="22"/>
    </w:p>
    <w:p w14:paraId="536D8353">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公司制定并发布了环境、社会和治理方针（见本手册中的ASI管理体系方针），公司的方针通过文件的发放、传递，内部的培训等方式进行宣导，使公司内部员工和外部的各相关方能够获取。</w:t>
      </w:r>
      <w:r>
        <w:rPr>
          <w:rFonts w:hint="eastAsia" w:asciiTheme="minorEastAsia" w:hAnsiTheme="minorEastAsia" w:eastAsiaTheme="minorEastAsia" w:cstheme="minorEastAsia"/>
          <w:color w:val="231F20"/>
          <w:kern w:val="0"/>
          <w:sz w:val="24"/>
        </w:rPr>
        <w:t>方针应获得高级管理层的批准并可以提供相应的资源支持相关方针的实施。</w:t>
      </w:r>
    </w:p>
    <w:p w14:paraId="4DF0AAAB">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每年的管理评审活动中，</w:t>
      </w:r>
      <w:r>
        <w:rPr>
          <w:rFonts w:hint="eastAsia" w:asciiTheme="minorEastAsia" w:hAnsiTheme="minorEastAsia" w:eastAsiaTheme="minorEastAsia" w:cstheme="minorEastAsia"/>
          <w:sz w:val="24"/>
          <w:lang w:val="en-US" w:eastAsia="zh-CN"/>
        </w:rPr>
        <w:t>质保部</w:t>
      </w:r>
      <w:r>
        <w:rPr>
          <w:rFonts w:hint="eastAsia" w:asciiTheme="minorEastAsia" w:hAnsiTheme="minorEastAsia" w:eastAsiaTheme="minorEastAsia" w:cstheme="minorEastAsia"/>
          <w:sz w:val="24"/>
        </w:rPr>
        <w:t>组织对方针的适宜性进行评审，必要时对方针做出调整。</w:t>
      </w:r>
    </w:p>
    <w:p w14:paraId="268861B4">
      <w:pPr>
        <w:autoSpaceDE w:val="0"/>
        <w:autoSpaceDN w:val="0"/>
        <w:adjustRightInd w:val="0"/>
        <w:spacing w:line="360" w:lineRule="auto"/>
        <w:ind w:firstLine="480" w:firstLineChars="200"/>
        <w:jc w:val="left"/>
        <w:rPr>
          <w:rFonts w:hint="eastAsia" w:asciiTheme="minorEastAsia" w:hAnsiTheme="minorEastAsia" w:eastAsiaTheme="minorEastAsia" w:cstheme="minorEastAsia"/>
          <w:color w:val="231F20"/>
          <w:kern w:val="0"/>
          <w:sz w:val="24"/>
        </w:rPr>
      </w:pPr>
      <w:r>
        <w:rPr>
          <w:rFonts w:hint="eastAsia" w:asciiTheme="minorEastAsia" w:hAnsiTheme="minorEastAsia" w:eastAsiaTheme="minorEastAsia" w:cstheme="minorEastAsia"/>
          <w:color w:val="000000"/>
          <w:kern w:val="0"/>
          <w:sz w:val="24"/>
        </w:rPr>
        <w:t>在企业发生任何变动，</w:t>
      </w:r>
      <w:r>
        <w:rPr>
          <w:rFonts w:hint="eastAsia" w:asciiTheme="minorEastAsia" w:hAnsiTheme="minorEastAsia" w:eastAsiaTheme="minorEastAsia" w:cstheme="minorEastAsia"/>
          <w:color w:val="231F20"/>
          <w:kern w:val="0"/>
          <w:sz w:val="24"/>
        </w:rPr>
        <w:t>给环境、社会和治理风险带来重要改变的情况下，对方针进行审查。</w:t>
      </w:r>
    </w:p>
    <w:p w14:paraId="5E0D2CC2">
      <w:pPr>
        <w:autoSpaceDE w:val="0"/>
        <w:autoSpaceDN w:val="0"/>
        <w:adjustRightIn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color w:val="000000"/>
          <w:kern w:val="0"/>
          <w:sz w:val="24"/>
        </w:rPr>
        <w:t>在出现控制缺陷迹象时，复审方针。</w:t>
      </w:r>
    </w:p>
    <w:p w14:paraId="24D02EA0">
      <w:pPr>
        <w:pStyle w:val="2"/>
        <w:spacing w:line="360" w:lineRule="auto"/>
        <w:rPr>
          <w:rFonts w:hint="eastAsia" w:asciiTheme="minorEastAsia" w:hAnsiTheme="minorEastAsia" w:eastAsiaTheme="minorEastAsia" w:cstheme="minorEastAsia"/>
          <w:b/>
          <w:szCs w:val="24"/>
        </w:rPr>
      </w:pPr>
      <w:bookmarkStart w:id="23" w:name="_Toc30350"/>
      <w:r>
        <w:rPr>
          <w:rFonts w:hint="eastAsia" w:asciiTheme="minorEastAsia" w:hAnsiTheme="minorEastAsia" w:eastAsiaTheme="minorEastAsia" w:cstheme="minorEastAsia"/>
          <w:b/>
          <w:szCs w:val="24"/>
        </w:rPr>
        <w:t>2.2 管理者代表</w:t>
      </w:r>
      <w:bookmarkEnd w:id="23"/>
    </w:p>
    <w:p w14:paraId="572C9E7C">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公司任命了ASI管理者代表（见管理者代表任命书），负责公司协调和组织公司的各项相关的活动，</w:t>
      </w:r>
      <w:r>
        <w:rPr>
          <w:rFonts w:hint="eastAsia" w:asciiTheme="minorEastAsia" w:hAnsiTheme="minorEastAsia" w:eastAsiaTheme="minorEastAsia" w:cstheme="minorEastAsia"/>
          <w:color w:val="231F20"/>
          <w:kern w:val="0"/>
          <w:sz w:val="24"/>
        </w:rPr>
        <w:t>负责方针的沟通和领导实施准则规定的方针，为建立、实施、维护和改进符合ASI绩效标准的管理系统提供所需的资源，</w:t>
      </w:r>
      <w:r>
        <w:rPr>
          <w:rFonts w:hint="eastAsia" w:asciiTheme="minorEastAsia" w:hAnsiTheme="minorEastAsia" w:eastAsiaTheme="minorEastAsia" w:cstheme="minorEastAsia"/>
          <w:sz w:val="24"/>
        </w:rPr>
        <w:t>确保这些活动符合ASI绩效标准。</w:t>
      </w:r>
    </w:p>
    <w:p w14:paraId="65C8D34F">
      <w:pPr>
        <w:pStyle w:val="2"/>
        <w:spacing w:line="360" w:lineRule="auto"/>
        <w:rPr>
          <w:rFonts w:hint="eastAsia" w:ascii="宋体" w:hAnsi="宋体" w:eastAsia="宋体" w:cs="宋体"/>
          <w:b/>
          <w:szCs w:val="24"/>
        </w:rPr>
      </w:pPr>
      <w:bookmarkStart w:id="24" w:name="_Toc19341"/>
      <w:r>
        <w:rPr>
          <w:rFonts w:hint="eastAsia" w:ascii="宋体" w:hAnsi="宋体" w:eastAsia="宋体" w:cs="宋体"/>
          <w:b/>
          <w:szCs w:val="24"/>
        </w:rPr>
        <w:t>2.3 环境和社会管理体系</w:t>
      </w:r>
      <w:bookmarkEnd w:id="24"/>
    </w:p>
    <w:p w14:paraId="645F7CD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2.3.1 公司建立环境和职业健康安全管理体系，在日常的管理和经营活动中，需按照环境和职业健康安全管理体系的要求开展实施，保证环境和职业健康绩效得到持续的提升。</w:t>
      </w:r>
    </w:p>
    <w:p w14:paraId="0F4127C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2.3.2 公司按照ASI绩效标准</w:t>
      </w:r>
      <w:r>
        <w:rPr>
          <w:rFonts w:hint="eastAsia" w:asciiTheme="minorEastAsia" w:hAnsiTheme="minorEastAsia" w:eastAsiaTheme="minorEastAsia" w:cstheme="minorEastAsia"/>
          <w:sz w:val="24"/>
          <w:lang w:val="en-US" w:eastAsia="zh-CN"/>
        </w:rPr>
        <w:t>执</w:t>
      </w:r>
      <w:r>
        <w:rPr>
          <w:rFonts w:hint="eastAsia" w:asciiTheme="minorEastAsia" w:hAnsiTheme="minorEastAsia" w:eastAsiaTheme="minorEastAsia" w:cstheme="minorEastAsia"/>
          <w:color w:val="auto"/>
          <w:sz w:val="24"/>
          <w:lang w:val="en-US" w:eastAsia="zh-CN"/>
        </w:rPr>
        <w:t>行</w:t>
      </w:r>
      <w:r>
        <w:rPr>
          <w:rFonts w:hint="eastAsia" w:asciiTheme="minorEastAsia" w:hAnsiTheme="minorEastAsia" w:eastAsiaTheme="minorEastAsia" w:cstheme="minorEastAsia"/>
          <w:color w:val="auto"/>
          <w:sz w:val="24"/>
        </w:rPr>
        <w:t>社会管理体系，</w:t>
      </w:r>
      <w:r>
        <w:rPr>
          <w:rFonts w:hint="eastAsia" w:asciiTheme="minorEastAsia" w:hAnsiTheme="minorEastAsia" w:eastAsiaTheme="minorEastAsia" w:cstheme="minorEastAsia"/>
          <w:sz w:val="24"/>
        </w:rPr>
        <w:t>在日常的管理和经营活动中，需按照社会管理体系的要求开展实施，保证社会绩效得到持续的提升。</w:t>
      </w:r>
    </w:p>
    <w:p w14:paraId="519FC646">
      <w:pPr>
        <w:pStyle w:val="2"/>
        <w:spacing w:line="360" w:lineRule="auto"/>
        <w:rPr>
          <w:rFonts w:hint="eastAsia" w:asciiTheme="minorEastAsia" w:hAnsiTheme="minorEastAsia" w:eastAsiaTheme="minorEastAsia" w:cstheme="minorEastAsia"/>
          <w:b/>
          <w:sz w:val="24"/>
          <w:szCs w:val="24"/>
        </w:rPr>
      </w:pPr>
      <w:bookmarkStart w:id="25" w:name="_Toc29068"/>
      <w:r>
        <w:rPr>
          <w:rFonts w:hint="eastAsia" w:asciiTheme="minorEastAsia" w:hAnsiTheme="minorEastAsia" w:eastAsiaTheme="minorEastAsia" w:cstheme="minorEastAsia"/>
          <w:b/>
          <w:sz w:val="24"/>
          <w:szCs w:val="24"/>
        </w:rPr>
        <w:t>2.4 负责任采购</w:t>
      </w:r>
      <w:bookmarkEnd w:id="25"/>
    </w:p>
    <w:p w14:paraId="1E3AA0E1">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2.4.1负责任的采购方针</w:t>
      </w:r>
    </w:p>
    <w:p w14:paraId="0E0C00E7">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公司遵循本标准的原则，制订并实施涵盖环境、社会和治理等方面要求的负责任采购方针</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并在门户网站</w:t>
      </w:r>
      <w:r>
        <w:rPr>
          <w:rFonts w:hint="eastAsia" w:asciiTheme="minorEastAsia" w:hAnsiTheme="minorEastAsia" w:eastAsiaTheme="minorEastAsia" w:cstheme="minorEastAsia"/>
          <w:color w:val="231F20"/>
          <w:kern w:val="0"/>
          <w:sz w:val="24"/>
          <w:szCs w:val="24"/>
        </w:rPr>
        <w:t>公开披露最新版本的负责任采购方针。至少每五年对负责任采购方针进行一次复审。</w:t>
      </w:r>
    </w:p>
    <w:p w14:paraId="7986421E">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2.4.2供方评价</w:t>
      </w:r>
    </w:p>
    <w:p w14:paraId="2EA37F2C">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公司在实施采购活动中充分考虑所采购的产品和服务中涉及的ASI环境、社会和治理的风险，公司建立了</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采购和供应商管理控制程序</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sz w:val="24"/>
          <w:szCs w:val="24"/>
        </w:rPr>
        <w:t>在采购前对供方实施充分的调查和评价。在对供方的调查和评价过程中，除考虑质量因素之外，还要充分掌握供方的日常经营中所涉及的环境、社会和治理等方面是否合规，主要调查和评价的内容包括：</w:t>
      </w:r>
    </w:p>
    <w:p w14:paraId="515281A4">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1）供方所提供的商品和服务及所使用的原材料中是否涉及环境、社会和治理问题，是否符合公司的ASI方针要求； </w:t>
      </w:r>
    </w:p>
    <w:p w14:paraId="6544556E">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2）供方在治理、人权、劳动权利和环境风险等方面是否存在负面的信息，有无有效的控制措施。</w:t>
      </w:r>
    </w:p>
    <w:p w14:paraId="098E4989">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通过调查和评价，符合公司ASI方针和行为准则要求的供应商才可列入合格的供应商名单中，后续的采购实施，在合格供应商名单中合作的供方。</w:t>
      </w:r>
    </w:p>
    <w:p w14:paraId="69A9557F">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实行招标采购的采购项目，</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采购科</w:t>
      </w:r>
      <w:r>
        <w:rPr>
          <w:rFonts w:hint="eastAsia" w:asciiTheme="minorEastAsia" w:hAnsiTheme="minorEastAsia" w:eastAsiaTheme="minorEastAsia" w:cstheme="minorEastAsia"/>
          <w:color w:val="000000" w:themeColor="text1"/>
          <w:sz w:val="24"/>
          <w:szCs w:val="24"/>
          <w14:textFill>
            <w14:solidFill>
              <w14:schemeClr w14:val="tx1"/>
            </w14:solidFill>
          </w14:textFill>
        </w:rPr>
        <w:t>在招标文件中对供方的ASI环境、社会和治理、供应链的风险进行识别，并提出要求作为招标评分的条件。</w:t>
      </w:r>
    </w:p>
    <w:p w14:paraId="2041C84C">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具体采购项目实施时，</w:t>
      </w:r>
      <w:r>
        <w:rPr>
          <w:rFonts w:hint="eastAsia" w:asciiTheme="minorEastAsia" w:hAnsiTheme="minorEastAsia" w:eastAsiaTheme="minorEastAsia" w:cstheme="minorEastAsia"/>
          <w:sz w:val="24"/>
          <w:szCs w:val="24"/>
          <w:lang w:val="en-US" w:eastAsia="zh-CN"/>
        </w:rPr>
        <w:t>采购科</w:t>
      </w:r>
      <w:r>
        <w:rPr>
          <w:rFonts w:hint="eastAsia" w:asciiTheme="minorEastAsia" w:hAnsiTheme="minorEastAsia" w:eastAsiaTheme="minorEastAsia" w:cstheme="minorEastAsia"/>
          <w:sz w:val="24"/>
          <w:szCs w:val="24"/>
        </w:rPr>
        <w:t>须与供应商通过采购合同或采购附属协议等方式约定需要遵守的ASI环境、社会、治理的相关要求。</w:t>
      </w:r>
    </w:p>
    <w:p w14:paraId="16ADD950">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2.4.3 采购跟踪</w:t>
      </w:r>
    </w:p>
    <w:p w14:paraId="2E0198E1">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采购科</w:t>
      </w:r>
      <w:r>
        <w:rPr>
          <w:rFonts w:hint="eastAsia" w:asciiTheme="minorEastAsia" w:hAnsiTheme="minorEastAsia" w:eastAsiaTheme="minorEastAsia" w:cstheme="minorEastAsia"/>
          <w:sz w:val="24"/>
          <w:szCs w:val="24"/>
        </w:rPr>
        <w:t>每年对供应商进行再评价，定期监控供应商在环境、社会、治理方面的绩效，检查供应商对采购协议中的绩效标准等条款的履行情况，已确定是否在下一周期的合作关系。</w:t>
      </w:r>
    </w:p>
    <w:p w14:paraId="79B8B116">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2.4.4在企业发生任何变动，给环境、社会和治理的风险带来重要改变之后，需对负责任采购方针进行审查。</w:t>
      </w:r>
    </w:p>
    <w:p w14:paraId="2A6FFFA7">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2.4.5在出现控制缺陷迹象时，要对负责任采购方针进行复审。</w:t>
      </w:r>
    </w:p>
    <w:p w14:paraId="0E52CE00">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本条支持文件：</w:t>
      </w:r>
    </w:p>
    <w:p w14:paraId="5D5D40CF">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采购和供应商管理控制程序</w:t>
      </w:r>
      <w:r>
        <w:rPr>
          <w:rFonts w:hint="eastAsia" w:asciiTheme="minorEastAsia" w:hAnsiTheme="minorEastAsia" w:eastAsiaTheme="minorEastAsia" w:cstheme="minorEastAsia"/>
          <w:sz w:val="24"/>
          <w:szCs w:val="24"/>
        </w:rPr>
        <w:t>》</w:t>
      </w:r>
    </w:p>
    <w:p w14:paraId="5D8C3D02">
      <w:pPr>
        <w:pStyle w:val="2"/>
        <w:spacing w:line="360" w:lineRule="auto"/>
        <w:rPr>
          <w:rFonts w:hint="eastAsia" w:asciiTheme="minorEastAsia" w:hAnsiTheme="minorEastAsia" w:eastAsiaTheme="minorEastAsia" w:cstheme="minorEastAsia"/>
          <w:b/>
          <w:szCs w:val="24"/>
        </w:rPr>
      </w:pPr>
      <w:bookmarkStart w:id="26" w:name="_Toc12174"/>
      <w:r>
        <w:rPr>
          <w:rFonts w:hint="eastAsia" w:asciiTheme="minorEastAsia" w:hAnsiTheme="minorEastAsia" w:eastAsiaTheme="minorEastAsia" w:cstheme="minorEastAsia"/>
          <w:b/>
          <w:szCs w:val="24"/>
        </w:rPr>
        <w:t>2.5环境和社会影响评价</w:t>
      </w:r>
      <w:bookmarkEnd w:id="26"/>
    </w:p>
    <w:p w14:paraId="2487C89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2.5.1公司在出现新建、改建和扩建项目时，对项目的建设、运营期间可能导致的环境影响和社会影响等进行识别和评价，以监视项目的开发、扩建、工厂设施的重大变化等活动对环境、社会产生的风险和影响。当出现新改扩建项目时，在项目实施建设前开展影响评价，委托外部的具有相关资质和经验的机构编</w:t>
      </w:r>
      <w:r>
        <w:rPr>
          <w:rFonts w:hint="eastAsia" w:asciiTheme="minorEastAsia" w:hAnsiTheme="minorEastAsia" w:eastAsiaTheme="minorEastAsia" w:cstheme="minorEastAsia"/>
          <w:color w:val="auto"/>
          <w:sz w:val="24"/>
        </w:rPr>
        <w:t>制《环境影响评价报告</w:t>
      </w:r>
      <w:r>
        <w:rPr>
          <w:rFonts w:hint="eastAsia" w:asciiTheme="minorEastAsia" w:hAnsiTheme="minorEastAsia" w:eastAsiaTheme="minorEastAsia" w:cstheme="minorEastAsia"/>
          <w:color w:val="auto"/>
          <w:sz w:val="24"/>
          <w:lang w:val="en-US" w:eastAsia="zh-CN"/>
        </w:rPr>
        <w:t>书</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color w:val="231F20"/>
          <w:kern w:val="0"/>
          <w:sz w:val="24"/>
        </w:rPr>
        <w:t>确保影响评价考虑基准条件如何受到以往铝业务活动的影响。</w:t>
      </w:r>
    </w:p>
    <w:p w14:paraId="40F553AB">
      <w:pPr>
        <w:autoSpaceDE w:val="0"/>
        <w:autoSpaceDN w:val="0"/>
        <w:adjustRightInd w:val="0"/>
        <w:spacing w:line="360" w:lineRule="auto"/>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sz w:val="24"/>
        </w:rPr>
        <w:t>2.5.2编制和实施</w:t>
      </w:r>
      <w:r>
        <w:rPr>
          <w:rFonts w:hint="eastAsia" w:asciiTheme="minorEastAsia" w:hAnsiTheme="minorEastAsia" w:eastAsiaTheme="minorEastAsia" w:cstheme="minorEastAsia"/>
          <w:color w:val="auto"/>
          <w:sz w:val="24"/>
        </w:rPr>
        <w:t>《环境和社会影响管理计划》，以</w:t>
      </w:r>
      <w:r>
        <w:rPr>
          <w:rFonts w:hint="eastAsia" w:asciiTheme="minorEastAsia" w:hAnsiTheme="minorEastAsia" w:eastAsiaTheme="minorEastAsia" w:cstheme="minorEastAsia"/>
          <w:sz w:val="24"/>
        </w:rPr>
        <w:t>防止、缓解并在必要时补救已查明的任何实质性</w:t>
      </w:r>
      <w:r>
        <w:rPr>
          <w:rFonts w:hint="eastAsia" w:asciiTheme="minorEastAsia" w:hAnsiTheme="minorEastAsia" w:eastAsiaTheme="minorEastAsia" w:cstheme="minorEastAsia"/>
          <w:color w:val="231F20"/>
          <w:kern w:val="0"/>
          <w:sz w:val="24"/>
        </w:rPr>
        <w:t>影响。</w:t>
      </w:r>
      <w:r>
        <w:rPr>
          <w:rFonts w:hint="eastAsia" w:asciiTheme="minorEastAsia" w:hAnsiTheme="minorEastAsia" w:eastAsiaTheme="minorEastAsia" w:cstheme="minorEastAsia"/>
          <w:color w:val="000000"/>
          <w:kern w:val="0"/>
          <w:sz w:val="24"/>
        </w:rPr>
        <w:t>至少每五年对《环境和社会影响</w:t>
      </w:r>
      <w:r>
        <w:rPr>
          <w:rFonts w:hint="eastAsia" w:asciiTheme="minorEastAsia" w:hAnsiTheme="minorEastAsia" w:eastAsiaTheme="minorEastAsia" w:cstheme="minorEastAsia"/>
          <w:color w:val="000000"/>
          <w:kern w:val="0"/>
          <w:sz w:val="24"/>
          <w:lang w:val="en-US" w:eastAsia="zh-CN"/>
        </w:rPr>
        <w:t>管理</w:t>
      </w:r>
      <w:r>
        <w:rPr>
          <w:rFonts w:hint="eastAsia" w:asciiTheme="minorEastAsia" w:hAnsiTheme="minorEastAsia" w:eastAsiaTheme="minorEastAsia" w:cstheme="minorEastAsia"/>
          <w:color w:val="000000"/>
          <w:kern w:val="0"/>
          <w:sz w:val="24"/>
        </w:rPr>
        <w:t>计划》进行一次复审。</w:t>
      </w:r>
    </w:p>
    <w:p w14:paraId="4F80FA14">
      <w:pPr>
        <w:autoSpaceDE w:val="0"/>
        <w:autoSpaceDN w:val="0"/>
        <w:adjustRightInd w:val="0"/>
        <w:spacing w:line="360" w:lineRule="auto"/>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sz w:val="24"/>
        </w:rPr>
        <w:t>2.5.3在企业发生任何变动，给环境、社会和治理风险带来重要改变之后，对环境和社会影响计</w:t>
      </w:r>
      <w:r>
        <w:rPr>
          <w:rFonts w:hint="eastAsia" w:asciiTheme="minorEastAsia" w:hAnsiTheme="minorEastAsia" w:eastAsiaTheme="minorEastAsia" w:cstheme="minorEastAsia"/>
          <w:color w:val="000000"/>
          <w:kern w:val="0"/>
          <w:sz w:val="24"/>
        </w:rPr>
        <w:t>划进行审查。</w:t>
      </w:r>
    </w:p>
    <w:p w14:paraId="2206A410">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2.5.4在出现控制缺陷迹象时，要对环境和社会影响计划进行审查。</w:t>
      </w:r>
    </w:p>
    <w:p w14:paraId="1D23415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2.5.5公开</w:t>
      </w:r>
      <w:r>
        <w:rPr>
          <w:rFonts w:hint="eastAsia" w:asciiTheme="minorEastAsia" w:hAnsiTheme="minorEastAsia" w:eastAsiaTheme="minorEastAsia" w:cstheme="minorEastAsia"/>
          <w:color w:val="231F20"/>
          <w:kern w:val="0"/>
          <w:sz w:val="24"/>
        </w:rPr>
        <w:t>披露环境和社会影响评价和最新版本的正在实施的《环境和社会影响管理计划》。</w:t>
      </w:r>
    </w:p>
    <w:p w14:paraId="643EC1F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56A4F7E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《环境影响</w:t>
      </w:r>
      <w:r>
        <w:rPr>
          <w:rFonts w:hint="eastAsia" w:asciiTheme="minorEastAsia" w:hAnsiTheme="minorEastAsia" w:eastAsiaTheme="minorEastAsia" w:cstheme="minorEastAsia"/>
          <w:sz w:val="24"/>
          <w:lang w:val="en-US" w:eastAsia="zh-CN"/>
        </w:rPr>
        <w:t>报告书</w:t>
      </w:r>
      <w:r>
        <w:rPr>
          <w:rFonts w:hint="eastAsia" w:asciiTheme="minorEastAsia" w:hAnsiTheme="minorEastAsia" w:eastAsiaTheme="minorEastAsia" w:cstheme="minorEastAsia"/>
          <w:sz w:val="24"/>
        </w:rPr>
        <w:t>》</w:t>
      </w:r>
    </w:p>
    <w:p w14:paraId="11C72F77">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《环境影响评价报告批复》</w:t>
      </w:r>
    </w:p>
    <w:p w14:paraId="217493D7">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w:t>
      </w:r>
      <w:r>
        <w:rPr>
          <w:rFonts w:hint="eastAsia" w:asciiTheme="minorEastAsia" w:hAnsiTheme="minorEastAsia" w:eastAsiaTheme="minorEastAsia" w:cstheme="minorEastAsia"/>
          <w:color w:val="auto"/>
          <w:sz w:val="24"/>
          <w:highlight w:val="none"/>
          <w:lang w:val="en-US" w:eastAsia="zh-CN"/>
        </w:rPr>
        <w:t>环境因素识别和评价控制程序</w:t>
      </w:r>
      <w:r>
        <w:rPr>
          <w:rFonts w:hint="eastAsia" w:asciiTheme="minorEastAsia" w:hAnsiTheme="minorEastAsia" w:eastAsiaTheme="minorEastAsia" w:cstheme="minorEastAsia"/>
          <w:color w:val="auto"/>
          <w:sz w:val="24"/>
          <w:highlight w:val="none"/>
        </w:rPr>
        <w:t>》</w:t>
      </w:r>
    </w:p>
    <w:p w14:paraId="2B810078">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《尽职调查管理规定》</w:t>
      </w:r>
    </w:p>
    <w:p w14:paraId="74D83008">
      <w:pPr>
        <w:spacing w:line="360" w:lineRule="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eastAsia="zh-CN"/>
        </w:rPr>
        <w:t>《</w:t>
      </w:r>
      <w:r>
        <w:rPr>
          <w:rFonts w:hint="eastAsia" w:asciiTheme="minorEastAsia" w:hAnsiTheme="minorEastAsia" w:eastAsiaTheme="minorEastAsia" w:cstheme="minorEastAsia"/>
          <w:color w:val="auto"/>
          <w:sz w:val="24"/>
          <w:highlight w:val="none"/>
          <w:lang w:val="en-US" w:eastAsia="zh-CN"/>
        </w:rPr>
        <w:t>环境和社会影响管理计划</w:t>
      </w:r>
      <w:r>
        <w:rPr>
          <w:rFonts w:hint="eastAsia" w:asciiTheme="minorEastAsia" w:hAnsiTheme="minorEastAsia" w:eastAsiaTheme="minorEastAsia" w:cstheme="minorEastAsia"/>
          <w:color w:val="auto"/>
          <w:sz w:val="24"/>
          <w:highlight w:val="none"/>
          <w:lang w:eastAsia="zh-CN"/>
        </w:rPr>
        <w:t>》</w:t>
      </w:r>
    </w:p>
    <w:p w14:paraId="6FD202E6">
      <w:pPr>
        <w:pStyle w:val="2"/>
        <w:spacing w:line="360" w:lineRule="auto"/>
        <w:rPr>
          <w:rFonts w:hint="eastAsia" w:asciiTheme="minorEastAsia" w:hAnsiTheme="minorEastAsia" w:eastAsiaTheme="minorEastAsia" w:cstheme="minorEastAsia"/>
          <w:b/>
          <w:szCs w:val="24"/>
        </w:rPr>
      </w:pPr>
      <w:bookmarkStart w:id="27" w:name="_Toc18618"/>
      <w:r>
        <w:rPr>
          <w:rFonts w:hint="eastAsia" w:asciiTheme="minorEastAsia" w:hAnsiTheme="minorEastAsia" w:eastAsiaTheme="minorEastAsia" w:cstheme="minorEastAsia"/>
          <w:b/>
          <w:szCs w:val="24"/>
        </w:rPr>
        <w:t>2.6人权影响评估</w:t>
      </w:r>
      <w:bookmarkEnd w:id="27"/>
    </w:p>
    <w:p w14:paraId="66C62B03">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2.6.1</w:t>
      </w:r>
      <w:r>
        <w:rPr>
          <w:rFonts w:hint="eastAsia" w:asciiTheme="minorEastAsia" w:hAnsiTheme="minorEastAsia" w:eastAsiaTheme="minorEastAsia" w:cstheme="minorEastAsia"/>
          <w:sz w:val="24"/>
        </w:rPr>
        <w:t>对新项目或现有设施的重大改变进行人权影响评估，包括性别分析。</w:t>
      </w:r>
    </w:p>
    <w:p w14:paraId="5B6CFCDC">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2.6.2</w:t>
      </w:r>
      <w:r>
        <w:rPr>
          <w:rFonts w:hint="eastAsia" w:asciiTheme="minorEastAsia" w:hAnsiTheme="minorEastAsia" w:eastAsiaTheme="minorEastAsia" w:cstheme="minorEastAsia"/>
          <w:sz w:val="24"/>
        </w:rPr>
        <w:t>确保人权影响评估考虑基准条件如何受到以往铝运营活动的影响。</w:t>
      </w:r>
    </w:p>
    <w:p w14:paraId="7F2D7DE7">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2.6.3</w:t>
      </w:r>
      <w:r>
        <w:rPr>
          <w:rFonts w:hint="eastAsia" w:asciiTheme="minorEastAsia" w:hAnsiTheme="minorEastAsia" w:eastAsiaTheme="minorEastAsia" w:cstheme="minorEastAsia"/>
          <w:sz w:val="24"/>
        </w:rPr>
        <w:t>确保人权影响评估包括对原住民权利的评估。</w:t>
      </w:r>
    </w:p>
    <w:p w14:paraId="3E289526">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2.6.4</w:t>
      </w:r>
      <w:r>
        <w:rPr>
          <w:rFonts w:hint="eastAsia" w:asciiTheme="minorEastAsia" w:hAnsiTheme="minorEastAsia" w:eastAsiaTheme="minorEastAsia" w:cstheme="minorEastAsia"/>
          <w:sz w:val="24"/>
        </w:rPr>
        <w:t>实施对性别问题又敏感认识的人权影响管理计划，以防止、减轻并在必要时补救已查明的任何实质性影响。</w:t>
      </w:r>
    </w:p>
    <w:p w14:paraId="35EEAF44">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2.6.5</w:t>
      </w:r>
      <w:r>
        <w:rPr>
          <w:rFonts w:hint="eastAsia" w:asciiTheme="minorEastAsia" w:hAnsiTheme="minorEastAsia" w:eastAsiaTheme="minorEastAsia" w:cstheme="minorEastAsia"/>
          <w:sz w:val="24"/>
        </w:rPr>
        <w:t>至少每五年对人权影响管理计划进行一次复审。</w:t>
      </w:r>
    </w:p>
    <w:p w14:paraId="20C6A317">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2.6.6</w:t>
      </w:r>
      <w:r>
        <w:rPr>
          <w:rFonts w:hint="eastAsia" w:asciiTheme="minorEastAsia" w:hAnsiTheme="minorEastAsia" w:eastAsiaTheme="minorEastAsia" w:cstheme="minorEastAsia"/>
          <w:sz w:val="24"/>
        </w:rPr>
        <w:t>在企业发生任何变动，导致人权风险发生改变之后，对人权影响管理计划进行复审。</w:t>
      </w:r>
    </w:p>
    <w:p w14:paraId="7F6B6598">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2.6.7</w:t>
      </w:r>
      <w:r>
        <w:rPr>
          <w:rFonts w:hint="eastAsia" w:asciiTheme="minorEastAsia" w:hAnsiTheme="minorEastAsia" w:eastAsiaTheme="minorEastAsia" w:cstheme="minorEastAsia"/>
          <w:sz w:val="24"/>
        </w:rPr>
        <w:t>在出现控制缺陷迹象时，要对人权影响管理计划进行复审。</w:t>
      </w:r>
    </w:p>
    <w:p w14:paraId="12B128E3">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2.6.8</w:t>
      </w:r>
      <w:r>
        <w:rPr>
          <w:rFonts w:hint="eastAsia" w:asciiTheme="minorEastAsia" w:hAnsiTheme="minorEastAsia" w:eastAsiaTheme="minorEastAsia" w:cstheme="minorEastAsia"/>
          <w:sz w:val="24"/>
        </w:rPr>
        <w:t>公开披露人权影响评估、人权影响管理计划和审查报告，同时要适当考虑到不会对受影响人群和组织构成风险，或不会对商业机密的合法要求构成风险。</w:t>
      </w:r>
    </w:p>
    <w:p w14:paraId="319501A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3C6C1C0F">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w:t>
      </w:r>
      <w:r>
        <w:rPr>
          <w:rFonts w:hint="eastAsia" w:asciiTheme="minorEastAsia" w:hAnsiTheme="minorEastAsia" w:eastAsiaTheme="minorEastAsia" w:cstheme="minorEastAsia"/>
          <w:color w:val="auto"/>
          <w:sz w:val="24"/>
          <w:highlight w:val="none"/>
          <w:lang w:val="en-US" w:eastAsia="zh-CN"/>
        </w:rPr>
        <w:t>企业人权影响承诺书</w:t>
      </w:r>
      <w:r>
        <w:rPr>
          <w:rFonts w:hint="eastAsia" w:asciiTheme="minorEastAsia" w:hAnsiTheme="minorEastAsia" w:eastAsiaTheme="minorEastAsia" w:cstheme="minorEastAsia"/>
          <w:color w:val="auto"/>
          <w:sz w:val="24"/>
          <w:highlight w:val="none"/>
        </w:rPr>
        <w:t>》</w:t>
      </w:r>
    </w:p>
    <w:p w14:paraId="51B9A51D">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w:t>
      </w:r>
      <w:r>
        <w:rPr>
          <w:rFonts w:hint="eastAsia" w:asciiTheme="minorEastAsia" w:hAnsiTheme="minorEastAsia" w:eastAsiaTheme="minorEastAsia" w:cstheme="minorEastAsia"/>
          <w:color w:val="auto"/>
          <w:sz w:val="24"/>
          <w:highlight w:val="none"/>
          <w:lang w:val="en-US" w:eastAsia="zh-CN"/>
        </w:rPr>
        <w:t>人权影响评估报告</w:t>
      </w:r>
      <w:r>
        <w:rPr>
          <w:rFonts w:hint="eastAsia" w:asciiTheme="minorEastAsia" w:hAnsiTheme="minorEastAsia" w:eastAsiaTheme="minorEastAsia" w:cstheme="minorEastAsia"/>
          <w:color w:val="auto"/>
          <w:sz w:val="24"/>
          <w:highlight w:val="none"/>
        </w:rPr>
        <w:t>》</w:t>
      </w:r>
    </w:p>
    <w:p w14:paraId="0EFBC8D9">
      <w:pPr>
        <w:pStyle w:val="2"/>
        <w:spacing w:line="360" w:lineRule="auto"/>
        <w:rPr>
          <w:rFonts w:hint="eastAsia" w:asciiTheme="minorEastAsia" w:hAnsiTheme="minorEastAsia" w:eastAsiaTheme="minorEastAsia" w:cstheme="minorEastAsia"/>
          <w:b/>
          <w:szCs w:val="24"/>
        </w:rPr>
      </w:pPr>
      <w:bookmarkStart w:id="28" w:name="_Toc6668"/>
      <w:r>
        <w:rPr>
          <w:rFonts w:hint="eastAsia" w:asciiTheme="minorEastAsia" w:hAnsiTheme="minorEastAsia" w:eastAsiaTheme="minorEastAsia" w:cstheme="minorEastAsia"/>
          <w:b/>
          <w:szCs w:val="24"/>
        </w:rPr>
        <w:t>2.7应急响应计划</w:t>
      </w:r>
      <w:bookmarkEnd w:id="28"/>
    </w:p>
    <w:p w14:paraId="6C54EAB8">
      <w:pPr>
        <w:spacing w:line="360" w:lineRule="auto"/>
        <w:ind w:firstLine="480" w:firstLineChars="200"/>
        <w:rPr>
          <w:rFonts w:eastAsiaTheme="minorEastAsia"/>
          <w:sz w:val="24"/>
        </w:rPr>
      </w:pPr>
      <w:r>
        <w:rPr>
          <w:rFonts w:eastAsiaTheme="minorEastAsia"/>
          <w:sz w:val="24"/>
        </w:rPr>
        <w:t>公司建立了环境和职业健康安全管理体系，编制了《应急准备和响应控制程序》，并分别针对公司区域内的各类环境、社会和安全的紧急情况形成了应急预案。公司定期对应急程序开展演练活动，评价应急预案的适宜性。</w:t>
      </w:r>
    </w:p>
    <w:p w14:paraId="10BD9666">
      <w:pPr>
        <w:spacing w:line="360" w:lineRule="auto"/>
        <w:ind w:firstLine="480" w:firstLineChars="200"/>
        <w:rPr>
          <w:rFonts w:eastAsiaTheme="minorEastAsia"/>
          <w:sz w:val="24"/>
        </w:rPr>
      </w:pPr>
      <w:r>
        <w:rPr>
          <w:rFonts w:eastAsiaTheme="minorEastAsia"/>
          <w:sz w:val="24"/>
        </w:rPr>
        <w:t>若一旦发生紧急情况之后，公司对应急预案的实施情况进行评审，必要时对预案进行调整和修改。</w:t>
      </w:r>
    </w:p>
    <w:p w14:paraId="543F7CC7">
      <w:pPr>
        <w:spacing w:line="360" w:lineRule="auto"/>
        <w:rPr>
          <w:rFonts w:eastAsiaTheme="minorEastAsia"/>
          <w:sz w:val="24"/>
        </w:rPr>
      </w:pPr>
      <w:r>
        <w:rPr>
          <w:rFonts w:eastAsiaTheme="minorEastAsia"/>
          <w:sz w:val="24"/>
        </w:rPr>
        <w:t>本条支持文件：</w:t>
      </w:r>
    </w:p>
    <w:p w14:paraId="48326E2E">
      <w:pPr>
        <w:spacing w:line="360" w:lineRule="auto"/>
        <w:rPr>
          <w:rFonts w:eastAsiaTheme="minorEastAsia"/>
          <w:color w:val="auto"/>
          <w:sz w:val="24"/>
          <w:highlight w:val="none"/>
        </w:rPr>
      </w:pPr>
      <w:r>
        <w:rPr>
          <w:rFonts w:hint="eastAsia" w:eastAsiaTheme="minorEastAsia"/>
          <w:color w:val="auto"/>
          <w:sz w:val="24"/>
          <w:highlight w:val="none"/>
          <w:lang w:eastAsia="zh-CN"/>
        </w:rPr>
        <w:t>《</w:t>
      </w:r>
      <w:r>
        <w:rPr>
          <w:rFonts w:eastAsiaTheme="minorEastAsia"/>
          <w:color w:val="auto"/>
          <w:sz w:val="24"/>
          <w:highlight w:val="none"/>
        </w:rPr>
        <w:t>应急准备和响应控制程序</w:t>
      </w:r>
      <w:r>
        <w:rPr>
          <w:rFonts w:hint="eastAsia" w:eastAsiaTheme="minorEastAsia"/>
          <w:color w:val="auto"/>
          <w:sz w:val="24"/>
          <w:highlight w:val="none"/>
          <w:lang w:eastAsia="zh-CN"/>
        </w:rPr>
        <w:t>》</w:t>
      </w:r>
      <w:r>
        <w:rPr>
          <w:rFonts w:hint="eastAsia" w:ascii="宋体" w:hAnsi="宋体" w:eastAsia="宋体" w:cs="宋体"/>
          <w:color w:val="auto"/>
          <w:sz w:val="24"/>
          <w:szCs w:val="24"/>
          <w:highlight w:val="none"/>
        </w:rPr>
        <w:t>《应急计划定期测试计划》</w:t>
      </w:r>
      <w:r>
        <w:rPr>
          <w:rFonts w:eastAsiaTheme="minorEastAsia"/>
          <w:color w:val="auto"/>
          <w:sz w:val="24"/>
          <w:highlight w:val="none"/>
        </w:rPr>
        <w:t>《</w:t>
      </w:r>
      <w:r>
        <w:rPr>
          <w:rFonts w:hint="eastAsia" w:eastAsiaTheme="minorEastAsia"/>
          <w:color w:val="auto"/>
          <w:sz w:val="24"/>
          <w:highlight w:val="none"/>
          <w:lang w:val="en-US" w:eastAsia="zh-CN"/>
        </w:rPr>
        <w:t>各类事故</w:t>
      </w:r>
      <w:r>
        <w:rPr>
          <w:rFonts w:eastAsiaTheme="minorEastAsia"/>
          <w:color w:val="auto"/>
          <w:sz w:val="24"/>
          <w:highlight w:val="none"/>
        </w:rPr>
        <w:t>应急预案》</w:t>
      </w:r>
    </w:p>
    <w:p w14:paraId="0CF81A46">
      <w:pPr>
        <w:pStyle w:val="2"/>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
          <w:szCs w:val="24"/>
        </w:rPr>
      </w:pPr>
      <w:bookmarkStart w:id="29" w:name="_Toc19521"/>
      <w:r>
        <w:rPr>
          <w:rFonts w:hint="eastAsia" w:asciiTheme="minorEastAsia" w:hAnsiTheme="minorEastAsia" w:eastAsiaTheme="minorEastAsia" w:cstheme="minorEastAsia"/>
          <w:b/>
          <w:szCs w:val="24"/>
        </w:rPr>
        <w:t>2.8暂停运营</w:t>
      </w:r>
      <w:bookmarkEnd w:id="29"/>
    </w:p>
    <w:p w14:paraId="25E536FF">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2.8.1公司制订</w:t>
      </w:r>
      <w:r>
        <w:rPr>
          <w:rFonts w:hint="eastAsia" w:ascii="宋体" w:hAnsi="宋体" w:eastAsia="宋体" w:cs="宋体"/>
          <w:b w:val="0"/>
          <w:bCs w:val="0"/>
          <w:sz w:val="24"/>
          <w:szCs w:val="24"/>
        </w:rPr>
        <w:t>《暂停运营管理规定》</w:t>
      </w:r>
      <w:r>
        <w:rPr>
          <w:rFonts w:hint="eastAsia" w:asciiTheme="minorEastAsia" w:hAnsiTheme="minorEastAsia" w:eastAsiaTheme="minorEastAsia" w:cstheme="minorEastAsia"/>
          <w:sz w:val="24"/>
        </w:rPr>
        <w:t>，以应对因其无法控制的因素而可能不得不暂停或大幅改变运行的情况，同时考虑到对环境、社会和治理造成的重大不利影响。</w:t>
      </w:r>
    </w:p>
    <w:p w14:paraId="657B91ED">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2.8.2</w:t>
      </w:r>
      <w:r>
        <w:rPr>
          <w:rFonts w:hint="eastAsia" w:ascii="宋体" w:hAnsi="宋体" w:eastAsia="宋体" w:cs="宋体"/>
          <w:b w:val="0"/>
          <w:bCs w:val="0"/>
          <w:sz w:val="24"/>
          <w:szCs w:val="24"/>
        </w:rPr>
        <w:t>《暂停运营管理规定》</w:t>
      </w:r>
      <w:r>
        <w:rPr>
          <w:rFonts w:hint="eastAsia" w:asciiTheme="minorEastAsia" w:hAnsiTheme="minorEastAsia" w:eastAsiaTheme="minorEastAsia" w:cstheme="minorEastAsia"/>
          <w:sz w:val="24"/>
        </w:rPr>
        <w:t>至少每五年进行一次复审。</w:t>
      </w:r>
    </w:p>
    <w:p w14:paraId="7660DF23">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2.8.3在企业发生任何变动，导致环境、社会和治理的风险的性质和规模发生了改变之后，对</w:t>
      </w:r>
      <w:r>
        <w:rPr>
          <w:rFonts w:hint="eastAsia" w:ascii="宋体" w:hAnsi="宋体" w:eastAsia="宋体" w:cs="宋体"/>
          <w:b w:val="0"/>
          <w:bCs w:val="0"/>
          <w:sz w:val="24"/>
          <w:szCs w:val="24"/>
        </w:rPr>
        <w:t>《暂停运营管理规定》</w:t>
      </w:r>
      <w:r>
        <w:rPr>
          <w:rFonts w:hint="eastAsia" w:asciiTheme="minorEastAsia" w:hAnsiTheme="minorEastAsia" w:eastAsiaTheme="minorEastAsia" w:cstheme="minorEastAsia"/>
          <w:sz w:val="24"/>
        </w:rPr>
        <w:t>进行复审。</w:t>
      </w:r>
    </w:p>
    <w:p w14:paraId="0E2D2675">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2.8.4在出现控制缺陷迹象时，对</w:t>
      </w:r>
      <w:r>
        <w:rPr>
          <w:rFonts w:hint="eastAsia" w:ascii="宋体" w:hAnsi="宋体" w:eastAsia="宋体" w:cs="宋体"/>
          <w:b w:val="0"/>
          <w:bCs w:val="0"/>
          <w:sz w:val="24"/>
          <w:szCs w:val="24"/>
        </w:rPr>
        <w:t>《暂停运营管理规定》</w:t>
      </w:r>
      <w:r>
        <w:rPr>
          <w:rFonts w:hint="eastAsia" w:asciiTheme="minorEastAsia" w:hAnsiTheme="minorEastAsia" w:eastAsiaTheme="minorEastAsia" w:cstheme="minorEastAsia"/>
          <w:sz w:val="24"/>
        </w:rPr>
        <w:t>进行复审。</w:t>
      </w:r>
    </w:p>
    <w:p w14:paraId="20705F29">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36E66406">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暂停运营管理规定</w:t>
      </w:r>
      <w:r>
        <w:rPr>
          <w:rFonts w:hint="eastAsia" w:asciiTheme="minorEastAsia" w:hAnsiTheme="minorEastAsia" w:eastAsiaTheme="minorEastAsia" w:cstheme="minorEastAsia"/>
          <w:color w:val="auto"/>
          <w:sz w:val="24"/>
          <w:lang w:eastAsia="zh-CN"/>
        </w:rPr>
        <w:t>》</w:t>
      </w:r>
    </w:p>
    <w:p w14:paraId="31CB7642">
      <w:pPr>
        <w:pStyle w:val="2"/>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
          <w:szCs w:val="24"/>
        </w:rPr>
      </w:pPr>
      <w:bookmarkStart w:id="30" w:name="_Toc3349"/>
      <w:r>
        <w:rPr>
          <w:rFonts w:hint="eastAsia" w:asciiTheme="minorEastAsia" w:hAnsiTheme="minorEastAsia" w:eastAsiaTheme="minorEastAsia" w:cstheme="minorEastAsia"/>
          <w:b/>
          <w:szCs w:val="24"/>
        </w:rPr>
        <w:t>2.9兼并和收购</w:t>
      </w:r>
      <w:bookmarkEnd w:id="30"/>
    </w:p>
    <w:p w14:paraId="18DA2668">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2.9.1公司在实施兼并和收购项目时，将环境、社会和治理因素作为重要的考虑依据。</w:t>
      </w:r>
    </w:p>
    <w:p w14:paraId="194CE696">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2.9.2兼并和收购活动实施之前，管理部应组织对项目目标企业的情况进行详细的调查分析，了解项目目标企业的环境、社会和治理情况的现状，并评估项目实施后，对环境、社会和治理绩效将会产生的影响，进行风险分析，制定相应的对策。力求在项目实施的过程中和项目实施之后，符合地方和国家的法律法规要求，并能够提升项目的环境表现、社会影响和治理绩效。</w:t>
      </w:r>
    </w:p>
    <w:p w14:paraId="5A003189">
      <w:pPr>
        <w:pStyle w:val="2"/>
        <w:keepLines w:val="0"/>
        <w:pageBreakBefore w:val="0"/>
        <w:widowControl w:val="0"/>
        <w:tabs>
          <w:tab w:val="center" w:pos="4535"/>
        </w:tabs>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szCs w:val="24"/>
        </w:rPr>
      </w:pPr>
      <w:bookmarkStart w:id="31" w:name="_Toc6788"/>
      <w:bookmarkStart w:id="32" w:name="_Toc9840"/>
      <w:r>
        <w:rPr>
          <w:rFonts w:hint="eastAsia" w:asciiTheme="minorEastAsia" w:hAnsiTheme="minorEastAsia" w:eastAsiaTheme="minorEastAsia" w:cstheme="minorEastAsia"/>
          <w:sz w:val="24"/>
          <w:szCs w:val="24"/>
        </w:rPr>
        <w:t>2.9.3兼并和收购后，管理部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应</w:t>
      </w:r>
      <w:r>
        <w:rPr>
          <w:rFonts w:hint="eastAsia" w:asciiTheme="minorEastAsia" w:hAnsiTheme="minorEastAsia" w:eastAsiaTheme="minorEastAsia" w:cstheme="minorEastAsia"/>
          <w:sz w:val="24"/>
          <w:szCs w:val="24"/>
        </w:rPr>
        <w:t>与受影响人群和组织分享有关以往铝业务运行的实质性影响的信息</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协商并合作制订一项影响减缓计划，以缓解以往铝业务运营所产生的任何已确定的实质性影响</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并</w:t>
      </w:r>
      <w:r>
        <w:rPr>
          <w:rFonts w:hint="eastAsia" w:asciiTheme="minorEastAsia" w:hAnsiTheme="minorEastAsia" w:eastAsiaTheme="minorEastAsia" w:cstheme="minorEastAsia"/>
          <w:sz w:val="24"/>
          <w:szCs w:val="24"/>
        </w:rPr>
        <w:t>每年与受影响人群和组织分享减缓影响计划的进展情况。</w:t>
      </w:r>
      <w:bookmarkEnd w:id="31"/>
      <w:bookmarkEnd w:id="32"/>
    </w:p>
    <w:p w14:paraId="2ECEB2A4">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60B66B86">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《兼并和收购管理规定》</w:t>
      </w:r>
    </w:p>
    <w:p w14:paraId="3636C8EE">
      <w:pPr>
        <w:pStyle w:val="2"/>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
          <w:szCs w:val="24"/>
        </w:rPr>
      </w:pPr>
      <w:bookmarkStart w:id="33" w:name="_Toc24650"/>
      <w:r>
        <w:rPr>
          <w:rFonts w:hint="eastAsia" w:asciiTheme="minorEastAsia" w:hAnsiTheme="minorEastAsia" w:eastAsiaTheme="minorEastAsia" w:cstheme="minorEastAsia"/>
          <w:b/>
          <w:szCs w:val="24"/>
        </w:rPr>
        <w:t>2.10关闭、退役和撤资</w:t>
      </w:r>
      <w:bookmarkEnd w:id="33"/>
    </w:p>
    <w:p w14:paraId="6072FC6A">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2.10.1公司在发生关闭、退役和撤资的情况时，管理部应基于环境和社会管理的要求，考虑减少或避免由此产生的负面环境和社会影响。</w:t>
      </w:r>
    </w:p>
    <w:p w14:paraId="6B31C9AD">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2.10.2管理部须组织制定详尽的计划以应对因关闭、退役和撤资所引发的或必然发生的环境和社会问题，如：可能会受到影响的人员、社区</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rPr>
        <w:t>相关的设备和设施</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rPr>
        <w:t>土地和厂房设施等，经过公司高层领导讨论之后，按计划实施。</w:t>
      </w:r>
    </w:p>
    <w:p w14:paraId="3F773401">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2.10.3公司确保实施关闭、退役和撤资活动实施过程的资源，并与地方政府和社会协商，协调影响复原等活动。</w:t>
      </w:r>
    </w:p>
    <w:p w14:paraId="1120D813">
      <w:pPr>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1A0FA04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《关闭、退役和撤资管理规定》</w:t>
      </w:r>
    </w:p>
    <w:p w14:paraId="244479BF">
      <w:pPr>
        <w:spacing w:line="360"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3透明度</w:t>
      </w:r>
    </w:p>
    <w:p w14:paraId="71FF6754">
      <w:pPr>
        <w:spacing w:line="360" w:lineRule="auto"/>
        <w:rPr>
          <w:rFonts w:eastAsiaTheme="minorEastAsia"/>
          <w:sz w:val="24"/>
        </w:rPr>
      </w:pPr>
      <w:r>
        <w:rPr>
          <w:rFonts w:eastAsiaTheme="minorEastAsia"/>
          <w:sz w:val="24"/>
        </w:rPr>
        <w:t>原则：实体应按国际公认的报告标准具有透明度。</w:t>
      </w:r>
    </w:p>
    <w:p w14:paraId="6E2C04A3">
      <w:pPr>
        <w:pStyle w:val="2"/>
        <w:spacing w:line="360" w:lineRule="auto"/>
        <w:rPr>
          <w:rFonts w:hint="eastAsia" w:asciiTheme="minorEastAsia" w:hAnsiTheme="minorEastAsia" w:eastAsiaTheme="minorEastAsia" w:cstheme="minorEastAsia"/>
          <w:b/>
          <w:szCs w:val="24"/>
        </w:rPr>
      </w:pPr>
      <w:bookmarkStart w:id="34" w:name="_Toc5295"/>
      <w:r>
        <w:rPr>
          <w:rFonts w:hint="eastAsia" w:asciiTheme="minorEastAsia" w:hAnsiTheme="minorEastAsia" w:eastAsiaTheme="minorEastAsia" w:cstheme="minorEastAsia"/>
          <w:b/>
          <w:szCs w:val="24"/>
        </w:rPr>
        <w:t>3.1可持续发展报告</w:t>
      </w:r>
      <w:bookmarkEnd w:id="34"/>
    </w:p>
    <w:p w14:paraId="30A738B4">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管理部</w:t>
      </w:r>
      <w:r>
        <w:rPr>
          <w:rFonts w:hint="eastAsia" w:asciiTheme="minorEastAsia" w:hAnsiTheme="minorEastAsia" w:eastAsiaTheme="minorEastAsia" w:cstheme="minorEastAsia"/>
          <w:sz w:val="24"/>
        </w:rPr>
        <w:t>根据ASI绩效标准和监管链标准的要求，每年编制《可持续发展报告》，对公司的ASI管理体系情况进行汇总和总结，对环境、社会和经济影响的治理方法和实质影响，并对外披露。《可持续发展报告》内容须涉及以下方面：</w:t>
      </w:r>
    </w:p>
    <w:p w14:paraId="1A370DDC">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1）违规与责任</w:t>
      </w:r>
    </w:p>
    <w:p w14:paraId="4D1B7AC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2）给政府的付款</w:t>
      </w:r>
    </w:p>
    <w:p w14:paraId="3242E80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3）温室气体排放</w:t>
      </w:r>
    </w:p>
    <w:p w14:paraId="4BCD5C45">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4）大气污染物排放</w:t>
      </w:r>
    </w:p>
    <w:p w14:paraId="20598E39">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5）水污染物排放</w:t>
      </w:r>
    </w:p>
    <w:p w14:paraId="26B1DB4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6）泄露的报告</w:t>
      </w:r>
    </w:p>
    <w:p w14:paraId="1036F47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7）废弃物管理和报告</w:t>
      </w:r>
    </w:p>
    <w:p w14:paraId="274D246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8）水使用和风险的披露</w:t>
      </w:r>
    </w:p>
    <w:p w14:paraId="5579DBC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9）生物多样性管理</w:t>
      </w:r>
    </w:p>
    <w:p w14:paraId="3EF15E2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10）人权尽职调查</w:t>
      </w:r>
    </w:p>
    <w:p w14:paraId="4CB53F8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11）合格废料的采购、核算和转移</w:t>
      </w:r>
    </w:p>
    <w:p w14:paraId="605241F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53A5DB92">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《可持续发展报告》</w:t>
      </w:r>
    </w:p>
    <w:p w14:paraId="28F1F6B3">
      <w:pPr>
        <w:pStyle w:val="2"/>
        <w:spacing w:line="360" w:lineRule="auto"/>
        <w:rPr>
          <w:rFonts w:hint="eastAsia" w:asciiTheme="minorEastAsia" w:hAnsiTheme="minorEastAsia" w:eastAsiaTheme="minorEastAsia" w:cstheme="minorEastAsia"/>
          <w:b/>
          <w:szCs w:val="24"/>
        </w:rPr>
      </w:pPr>
      <w:bookmarkStart w:id="35" w:name="_Toc13971"/>
      <w:r>
        <w:rPr>
          <w:rFonts w:hint="eastAsia" w:asciiTheme="minorEastAsia" w:hAnsiTheme="minorEastAsia" w:eastAsiaTheme="minorEastAsia" w:cstheme="minorEastAsia"/>
          <w:b/>
          <w:szCs w:val="24"/>
        </w:rPr>
        <w:t>3.2 违规及责任</w:t>
      </w:r>
      <w:bookmarkEnd w:id="35"/>
    </w:p>
    <w:p w14:paraId="6591F848">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的违规情况将会侧面反映公司管理层确保运营符合相应的绩效要求的能力。从经济的角度来看，确保公司的经营合规将会有助于减少公司的财务风险，这些风险将会直接通过罚金或间接对企业声誉的影响体现出来。因违规而产生的清理义务或是其他代价也将会是昂贵的。</w:t>
      </w:r>
    </w:p>
    <w:p w14:paraId="2BEED865">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公司确定遵守有关的治理、环境和社会方面的法律和法规的要求，但一旦出现了因违反环保或社会法律法规而产生的行政或司法上的惩罚，公司将就以下方面对外披露：</w:t>
      </w:r>
    </w:p>
    <w:p w14:paraId="04F0664C">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1）重大罚金的总金额</w:t>
      </w:r>
    </w:p>
    <w:p w14:paraId="15912FA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2）非经济性惩罚的总数量</w:t>
      </w:r>
    </w:p>
    <w:p w14:paraId="7DDDDC6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3）纠纷解决机制涉及的案件</w:t>
      </w:r>
    </w:p>
    <w:p w14:paraId="435E3BB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4）为解决违规事项已经采取的纠正行动</w:t>
      </w:r>
    </w:p>
    <w:p w14:paraId="112651C6">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对于公司的违规责任情况将会在每年的《可持续发展报告》中进行公布。</w:t>
      </w:r>
    </w:p>
    <w:p w14:paraId="061BCE6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494CC3F5">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《可持续发展报告》</w:t>
      </w:r>
    </w:p>
    <w:p w14:paraId="5F2DEF1B">
      <w:pPr>
        <w:pStyle w:val="2"/>
        <w:spacing w:line="360" w:lineRule="auto"/>
        <w:rPr>
          <w:rFonts w:hint="eastAsia" w:asciiTheme="minorEastAsia" w:hAnsiTheme="minorEastAsia" w:eastAsiaTheme="minorEastAsia" w:cstheme="minorEastAsia"/>
          <w:b/>
          <w:szCs w:val="24"/>
        </w:rPr>
      </w:pPr>
      <w:bookmarkStart w:id="36" w:name="_Toc9438"/>
      <w:r>
        <w:rPr>
          <w:rFonts w:hint="eastAsia" w:asciiTheme="minorEastAsia" w:hAnsiTheme="minorEastAsia" w:eastAsiaTheme="minorEastAsia" w:cstheme="minorEastAsia"/>
          <w:b/>
          <w:szCs w:val="24"/>
        </w:rPr>
        <w:t>3.3 给政府的付款</w:t>
      </w:r>
      <w:bookmarkEnd w:id="36"/>
    </w:p>
    <w:p w14:paraId="67C625D9">
      <w:pPr>
        <w:spacing w:line="360" w:lineRule="auto"/>
        <w:ind w:firstLine="480" w:firstLineChars="200"/>
        <w:rPr>
          <w:rFonts w:hint="eastAsia" w:eastAsiaTheme="minorEastAsia"/>
          <w:sz w:val="24"/>
        </w:rPr>
      </w:pPr>
      <w:r>
        <w:rPr>
          <w:rFonts w:eastAsiaTheme="minorEastAsia"/>
          <w:sz w:val="24"/>
        </w:rPr>
        <w:t>公司基于反腐败方针的要求，</w:t>
      </w:r>
      <w:r>
        <w:rPr>
          <w:rFonts w:hint="eastAsia" w:eastAsiaTheme="minorEastAsia"/>
          <w:sz w:val="24"/>
        </w:rPr>
        <w:t>依照法律或合同要求</w:t>
      </w:r>
      <w:r>
        <w:rPr>
          <w:rFonts w:eastAsiaTheme="minorEastAsia"/>
          <w:sz w:val="24"/>
        </w:rPr>
        <w:t>向政府的任何付款都遵循法律和招标合同要求。</w:t>
      </w:r>
    </w:p>
    <w:p w14:paraId="003ABE92">
      <w:pPr>
        <w:spacing w:line="360" w:lineRule="auto"/>
        <w:ind w:firstLine="480" w:firstLineChars="200"/>
        <w:rPr>
          <w:rFonts w:eastAsiaTheme="minorEastAsia"/>
          <w:sz w:val="24"/>
        </w:rPr>
      </w:pPr>
      <w:r>
        <w:rPr>
          <w:rFonts w:eastAsiaTheme="minorEastAsia"/>
          <w:sz w:val="24"/>
        </w:rPr>
        <w:t>每一笔付款均须保留财务记录，并定期接受财务审计，确保支付的款项和数额是合法的。</w:t>
      </w:r>
    </w:p>
    <w:p w14:paraId="0EEA0E36">
      <w:pPr>
        <w:spacing w:line="360" w:lineRule="auto"/>
        <w:ind w:firstLine="480" w:firstLineChars="200"/>
        <w:rPr>
          <w:rFonts w:eastAsiaTheme="minorEastAsia"/>
          <w:sz w:val="24"/>
        </w:rPr>
      </w:pPr>
      <w:r>
        <w:rPr>
          <w:rFonts w:hint="eastAsia" w:eastAsiaTheme="minorEastAsia"/>
          <w:sz w:val="24"/>
        </w:rPr>
        <w:t>应按照现有审计和保证体系，公开披露他们向政府的付款。每年公开披露直接或通过中间人提供的财务和实物政治捐助的价值和受益人，或在现有审计和审验体系的基础上公开披露。</w:t>
      </w:r>
    </w:p>
    <w:p w14:paraId="67D6C292">
      <w:pPr>
        <w:spacing w:line="360" w:lineRule="auto"/>
        <w:rPr>
          <w:rFonts w:eastAsiaTheme="minorEastAsia"/>
          <w:sz w:val="24"/>
        </w:rPr>
      </w:pPr>
      <w:r>
        <w:rPr>
          <w:rFonts w:eastAsiaTheme="minorEastAsia"/>
          <w:sz w:val="24"/>
        </w:rPr>
        <w:t>本条支持文件：</w:t>
      </w:r>
    </w:p>
    <w:p w14:paraId="21066F57">
      <w:pPr>
        <w:spacing w:line="360" w:lineRule="auto"/>
        <w:rPr>
          <w:rFonts w:hint="eastAsia" w:eastAsiaTheme="minorEastAsia"/>
          <w:sz w:val="24"/>
          <w:szCs w:val="24"/>
        </w:rPr>
      </w:pPr>
      <w:r>
        <w:rPr>
          <w:rFonts w:eastAsiaTheme="minorEastAsia"/>
          <w:sz w:val="24"/>
        </w:rPr>
        <w:t>《支付凭证》</w:t>
      </w:r>
    </w:p>
    <w:p w14:paraId="6684DF4C">
      <w:pPr>
        <w:pStyle w:val="2"/>
        <w:spacing w:line="360" w:lineRule="auto"/>
        <w:rPr>
          <w:rFonts w:hint="eastAsia" w:asciiTheme="minorEastAsia" w:hAnsiTheme="minorEastAsia" w:eastAsiaTheme="minorEastAsia" w:cstheme="minorEastAsia"/>
          <w:b/>
          <w:szCs w:val="24"/>
        </w:rPr>
      </w:pPr>
      <w:bookmarkStart w:id="37" w:name="_Toc27269"/>
      <w:r>
        <w:rPr>
          <w:rFonts w:hint="eastAsia" w:asciiTheme="minorEastAsia" w:hAnsiTheme="minorEastAsia" w:eastAsiaTheme="minorEastAsia" w:cstheme="minorEastAsia"/>
          <w:b/>
          <w:szCs w:val="24"/>
        </w:rPr>
        <w:t>3.4 利益相关方投诉、申诉及信息要求</w:t>
      </w:r>
      <w:bookmarkEnd w:id="37"/>
    </w:p>
    <w:p w14:paraId="1D8CC046">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3.4.1公司建立并实施投诉解决机制，并具有：</w:t>
      </w:r>
    </w:p>
    <w:p w14:paraId="3BB8F1C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w:t>
      </w:r>
      <w:r>
        <w:rPr>
          <w:rFonts w:hint="eastAsia" w:asciiTheme="minorEastAsia" w:hAnsiTheme="minorEastAsia" w:eastAsiaTheme="minorEastAsia" w:cstheme="minorEastAsia"/>
          <w:sz w:val="24"/>
        </w:rPr>
        <w:t>合法性</w:t>
      </w:r>
    </w:p>
    <w:p w14:paraId="4121446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无障碍性</w:t>
      </w:r>
    </w:p>
    <w:p w14:paraId="3449F1B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可预测性</w:t>
      </w:r>
    </w:p>
    <w:p w14:paraId="13CAF29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4) </w:t>
      </w:r>
      <w:r>
        <w:rPr>
          <w:rFonts w:hint="eastAsia" w:asciiTheme="minorEastAsia" w:hAnsiTheme="minorEastAsia" w:eastAsiaTheme="minorEastAsia" w:cstheme="minorEastAsia"/>
          <w:sz w:val="24"/>
        </w:rPr>
        <w:t>公平性</w:t>
      </w:r>
    </w:p>
    <w:p w14:paraId="6BC86C8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 xml:space="preserve"> 透明度</w:t>
      </w:r>
    </w:p>
    <w:p w14:paraId="02F87EA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6)</w:t>
      </w:r>
      <w:r>
        <w:rPr>
          <w:rFonts w:hint="eastAsia" w:asciiTheme="minorEastAsia" w:hAnsiTheme="minorEastAsia" w:eastAsiaTheme="minorEastAsia" w:cstheme="minorEastAsia"/>
          <w:sz w:val="24"/>
        </w:rPr>
        <w:t xml:space="preserve"> 权利兼容性</w:t>
      </w:r>
    </w:p>
    <w:p w14:paraId="122010C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7)</w:t>
      </w:r>
      <w:r>
        <w:rPr>
          <w:rFonts w:hint="eastAsia" w:asciiTheme="minorEastAsia" w:hAnsiTheme="minorEastAsia" w:eastAsiaTheme="minorEastAsia" w:cstheme="minorEastAsia"/>
          <w:sz w:val="24"/>
        </w:rPr>
        <w:t xml:space="preserve"> 有持续了解的来源</w:t>
      </w:r>
    </w:p>
    <w:p w14:paraId="732FA38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8) </w:t>
      </w:r>
      <w:r>
        <w:rPr>
          <w:rFonts w:hint="eastAsia" w:asciiTheme="minorEastAsia" w:hAnsiTheme="minorEastAsia" w:eastAsiaTheme="minorEastAsia" w:cstheme="minorEastAsia"/>
          <w:sz w:val="24"/>
        </w:rPr>
        <w:t>基于参与和对话</w:t>
      </w:r>
    </w:p>
    <w:p w14:paraId="05A0E2E9">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9) </w:t>
      </w:r>
      <w:r>
        <w:rPr>
          <w:rFonts w:hint="eastAsia" w:asciiTheme="minorEastAsia" w:hAnsiTheme="minorEastAsia" w:eastAsiaTheme="minorEastAsia" w:cstheme="minorEastAsia"/>
          <w:sz w:val="24"/>
        </w:rPr>
        <w:t>足以处置受影响人群和组织关于公司运营的投诉、申诉和信息要求。</w:t>
      </w:r>
    </w:p>
    <w:p w14:paraId="555D48F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3.4.2公司设立了企业网站，公布公司的联系电话、邮箱等信息，向受影响人群和组织分享投诉解决机制，接受各方的信息查询、投诉及申诉。</w:t>
      </w:r>
    </w:p>
    <w:p w14:paraId="127763A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3.4.3管理部负责接收公司内、外部利益相关方的信息反馈情况，并确保这些信息能够及时被传达到相关的人员，并及时得到处理和回复。</w:t>
      </w:r>
    </w:p>
    <w:p w14:paraId="093750A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3.4.4有关公司治理、环境和社会方面的重大的投诉信息，管理部负责进行联络外部的利益相关方进行处理和回复。</w:t>
      </w:r>
    </w:p>
    <w:p w14:paraId="2A1E76C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3.4.4有关</w:t>
      </w:r>
      <w:r>
        <w:rPr>
          <w:rFonts w:hint="eastAsia" w:asciiTheme="minorEastAsia" w:hAnsiTheme="minorEastAsia" w:eastAsiaTheme="minorEastAsia" w:cstheme="minorEastAsia"/>
          <w:sz w:val="24"/>
          <w:lang w:val="en-US" w:eastAsia="zh-CN"/>
        </w:rPr>
        <w:t>供应商或客户</w:t>
      </w:r>
      <w:r>
        <w:rPr>
          <w:rFonts w:hint="eastAsia" w:asciiTheme="minorEastAsia" w:hAnsiTheme="minorEastAsia" w:eastAsiaTheme="minorEastAsia" w:cstheme="minorEastAsia"/>
          <w:sz w:val="24"/>
        </w:rPr>
        <w:t>方面的重大投诉信息，</w:t>
      </w:r>
      <w:r>
        <w:rPr>
          <w:rFonts w:hint="eastAsia" w:asciiTheme="minorEastAsia" w:hAnsiTheme="minorEastAsia" w:eastAsiaTheme="minorEastAsia" w:cstheme="minorEastAsia"/>
          <w:sz w:val="24"/>
          <w:lang w:val="en-US" w:eastAsia="zh-CN"/>
        </w:rPr>
        <w:t>销售</w:t>
      </w:r>
      <w:r>
        <w:rPr>
          <w:rFonts w:hint="eastAsia" w:asciiTheme="minorEastAsia" w:hAnsiTheme="minorEastAsia" w:eastAsiaTheme="minorEastAsia" w:cstheme="minorEastAsia"/>
          <w:sz w:val="24"/>
        </w:rPr>
        <w:t>部</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lang w:val="en-US" w:eastAsia="zh-CN"/>
        </w:rPr>
        <w:t>采购科</w:t>
      </w:r>
      <w:r>
        <w:rPr>
          <w:rFonts w:hint="eastAsia" w:asciiTheme="minorEastAsia" w:hAnsiTheme="minorEastAsia" w:eastAsiaTheme="minorEastAsia" w:cstheme="minorEastAsia"/>
          <w:sz w:val="24"/>
        </w:rPr>
        <w:t>负责联络内外部的利益相关方进行处理和回复。</w:t>
      </w:r>
    </w:p>
    <w:p w14:paraId="0D9A525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3.4.5至少每五年对投诉解决机制进行一次复审。</w:t>
      </w:r>
    </w:p>
    <w:p w14:paraId="74551BC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3.4.6在企业发生任何变动并导致实质环境、社会和治理风险变化后，复审投诉解决机制。</w:t>
      </w:r>
    </w:p>
    <w:p w14:paraId="0017BB8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3.4.7在出现控制缺陷迹象时，要对投诉解决机制进行复审。</w:t>
      </w:r>
    </w:p>
    <w:p w14:paraId="290F2F2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3.4.8开披露最新版本的投诉解决机制。</w:t>
      </w:r>
    </w:p>
    <w:p w14:paraId="6DBF9525">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38A295E5">
      <w:pPr>
        <w:spacing w:line="360" w:lineRule="auto"/>
        <w:rPr>
          <w:rFonts w:hint="eastAsia" w:asciiTheme="minorEastAsia" w:hAnsiTheme="minorEastAsia" w:eastAsiaTheme="minorEastAsia" w:cstheme="minorEastAsia"/>
          <w:color w:val="auto"/>
          <w:sz w:val="24"/>
          <w:highlight w:val="none"/>
        </w:rPr>
      </w:pPr>
      <w:commentRangeStart w:id="0"/>
      <w:r>
        <w:rPr>
          <w:rFonts w:hint="eastAsia" w:asciiTheme="minorEastAsia" w:hAnsiTheme="minorEastAsia" w:eastAsiaTheme="minorEastAsia" w:cstheme="minorEastAsia"/>
          <w:color w:val="auto"/>
          <w:sz w:val="24"/>
          <w:highlight w:val="none"/>
        </w:rPr>
        <w:t>《</w:t>
      </w:r>
      <w:r>
        <w:rPr>
          <w:rFonts w:hint="eastAsia" w:asciiTheme="minorEastAsia" w:hAnsiTheme="minorEastAsia" w:eastAsiaTheme="minorEastAsia" w:cstheme="minorEastAsia"/>
          <w:color w:val="auto"/>
          <w:sz w:val="24"/>
          <w:highlight w:val="none"/>
          <w:lang w:val="en-US" w:eastAsia="zh-CN"/>
        </w:rPr>
        <w:t>内外部沟通管理规定</w:t>
      </w:r>
      <w:r>
        <w:rPr>
          <w:rFonts w:hint="eastAsia" w:asciiTheme="minorEastAsia" w:hAnsiTheme="minorEastAsia" w:eastAsiaTheme="minorEastAsia" w:cstheme="minorEastAsia"/>
          <w:color w:val="auto"/>
          <w:sz w:val="24"/>
          <w:highlight w:val="none"/>
        </w:rPr>
        <w:t>》</w:t>
      </w:r>
      <w:commentRangeEnd w:id="0"/>
      <w:r>
        <w:rPr>
          <w:color w:val="auto"/>
          <w:highlight w:val="none"/>
        </w:rPr>
        <w:commentReference w:id="0"/>
      </w:r>
    </w:p>
    <w:p w14:paraId="2E3558EB">
      <w:pPr>
        <w:spacing w:line="360" w:lineRule="auto"/>
        <w:rPr>
          <w:rFonts w:hint="eastAsia" w:asciiTheme="minorEastAsia" w:hAnsiTheme="minorEastAsia" w:eastAsiaTheme="minorEastAsia" w:cstheme="minorEastAsia"/>
          <w:color w:val="auto"/>
          <w:sz w:val="24"/>
          <w:highlight w:val="none"/>
          <w:lang w:eastAsia="zh-CN"/>
        </w:rPr>
      </w:pPr>
      <w:commentRangeStart w:id="1"/>
      <w:r>
        <w:rPr>
          <w:rFonts w:hint="eastAsia" w:asciiTheme="minorEastAsia" w:hAnsiTheme="minorEastAsia" w:eastAsiaTheme="minorEastAsia" w:cstheme="minorEastAsia"/>
          <w:color w:val="auto"/>
          <w:sz w:val="24"/>
          <w:highlight w:val="none"/>
          <w:lang w:eastAsia="zh-CN"/>
        </w:rPr>
        <w:t>《</w:t>
      </w:r>
      <w:r>
        <w:rPr>
          <w:rFonts w:hint="eastAsia" w:asciiTheme="minorEastAsia" w:hAnsiTheme="minorEastAsia" w:eastAsiaTheme="minorEastAsia" w:cstheme="minorEastAsia"/>
          <w:color w:val="auto"/>
          <w:sz w:val="24"/>
          <w:highlight w:val="none"/>
          <w:lang w:val="en-US" w:eastAsia="zh-CN"/>
        </w:rPr>
        <w:t>利益相关方沟通一览表</w:t>
      </w:r>
      <w:r>
        <w:rPr>
          <w:rFonts w:hint="eastAsia" w:asciiTheme="minorEastAsia" w:hAnsiTheme="minorEastAsia" w:eastAsiaTheme="minorEastAsia" w:cstheme="minorEastAsia"/>
          <w:color w:val="auto"/>
          <w:sz w:val="24"/>
          <w:highlight w:val="none"/>
          <w:lang w:eastAsia="zh-CN"/>
        </w:rPr>
        <w:t>》</w:t>
      </w:r>
    </w:p>
    <w:p w14:paraId="69C99903">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w:t>
      </w:r>
      <w:r>
        <w:rPr>
          <w:rFonts w:hint="eastAsia" w:asciiTheme="minorEastAsia" w:hAnsiTheme="minorEastAsia" w:eastAsiaTheme="minorEastAsia" w:cstheme="minorEastAsia"/>
          <w:color w:val="auto"/>
          <w:sz w:val="24"/>
          <w:highlight w:val="none"/>
          <w:lang w:val="en-US" w:eastAsia="zh-CN"/>
        </w:rPr>
        <w:t>相关方需求和期望识别表</w:t>
      </w:r>
      <w:r>
        <w:rPr>
          <w:rFonts w:hint="eastAsia" w:asciiTheme="minorEastAsia" w:hAnsiTheme="minorEastAsia" w:eastAsiaTheme="minorEastAsia" w:cstheme="minorEastAsia"/>
          <w:color w:val="auto"/>
          <w:sz w:val="24"/>
          <w:highlight w:val="none"/>
        </w:rPr>
        <w:t>》</w:t>
      </w:r>
      <w:commentRangeEnd w:id="1"/>
      <w:r>
        <w:rPr>
          <w:color w:val="auto"/>
          <w:highlight w:val="none"/>
        </w:rPr>
        <w:commentReference w:id="1"/>
      </w:r>
    </w:p>
    <w:p w14:paraId="0BFC36EB">
      <w:pPr>
        <w:pStyle w:val="25"/>
        <w:spacing w:before="0" w:after="0" w:line="360" w:lineRule="auto"/>
        <w:outlineLvl w:val="9"/>
        <w:rPr>
          <w:rFonts w:ascii="Times New Roman" w:hAnsi="Times New Roman" w:cs="Times New Roman" w:eastAsiaTheme="minorEastAsia"/>
          <w:sz w:val="24"/>
          <w:szCs w:val="24"/>
        </w:rPr>
      </w:pPr>
    </w:p>
    <w:p w14:paraId="48613F27">
      <w:pPr>
        <w:sectPr>
          <w:pgSz w:w="11907" w:h="16840"/>
          <w:pgMar w:top="1134" w:right="1418" w:bottom="1134" w:left="1418" w:header="737" w:footer="737" w:gutter="0"/>
          <w:cols w:space="425" w:num="1"/>
          <w:docGrid w:linePitch="312" w:charSpace="0"/>
        </w:sectPr>
      </w:pPr>
    </w:p>
    <w:p w14:paraId="2BA07A38">
      <w:pPr>
        <w:pStyle w:val="25"/>
        <w:spacing w:before="0" w:after="0" w:line="360" w:lineRule="auto"/>
        <w:rPr>
          <w:rFonts w:hint="eastAsia" w:ascii="微软雅黑" w:hAnsi="微软雅黑" w:eastAsia="微软雅黑" w:cs="微软雅黑"/>
          <w:sz w:val="30"/>
          <w:szCs w:val="30"/>
        </w:rPr>
      </w:pPr>
      <w:bookmarkStart w:id="38" w:name="_Toc684"/>
      <w:r>
        <w:rPr>
          <w:rFonts w:hint="eastAsia" w:ascii="微软雅黑" w:hAnsi="微软雅黑" w:eastAsia="微软雅黑" w:cs="微软雅黑"/>
          <w:sz w:val="30"/>
          <w:szCs w:val="30"/>
        </w:rPr>
        <w:t>4材料管理</w:t>
      </w:r>
      <w:bookmarkEnd w:id="38"/>
    </w:p>
    <w:p w14:paraId="467D73EF">
      <w:pPr>
        <w:spacing w:line="360" w:lineRule="auto"/>
        <w:rPr>
          <w:rFonts w:eastAsiaTheme="minorEastAsia"/>
          <w:sz w:val="24"/>
        </w:rPr>
      </w:pPr>
      <w:r>
        <w:rPr>
          <w:rFonts w:eastAsiaTheme="minorEastAsia"/>
          <w:sz w:val="24"/>
        </w:rPr>
        <w:t>原则：实体应致力于从生命周期的角度，推动资源的使用效率和铝的回收利用，这既要体现在其内部运营中也要体现在铝的价值链中。</w:t>
      </w:r>
    </w:p>
    <w:p w14:paraId="225EF711">
      <w:pPr>
        <w:pStyle w:val="2"/>
        <w:spacing w:line="360" w:lineRule="auto"/>
        <w:rPr>
          <w:rFonts w:hint="eastAsia" w:asciiTheme="minorEastAsia" w:hAnsiTheme="minorEastAsia" w:eastAsiaTheme="minorEastAsia" w:cstheme="minorEastAsia"/>
          <w:b/>
          <w:szCs w:val="24"/>
        </w:rPr>
      </w:pPr>
      <w:bookmarkStart w:id="39" w:name="_Toc28373"/>
      <w:r>
        <w:rPr>
          <w:rFonts w:hint="eastAsia" w:asciiTheme="minorEastAsia" w:hAnsiTheme="minorEastAsia" w:eastAsiaTheme="minorEastAsia" w:cstheme="minorEastAsia"/>
          <w:b/>
          <w:szCs w:val="24"/>
        </w:rPr>
        <w:t>4.1环境生命周期评价</w:t>
      </w:r>
      <w:bookmarkEnd w:id="39"/>
    </w:p>
    <w:p w14:paraId="2FE06AF0">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在环境管理体系的实施过程中，建立了《环境因素识别和评价控制程序》，管理部在组织开展环境因素识别活动中，充分考虑到所使用的铝产品，从原料的最初来源、运输、生产、报废等全生命周期的环境影响，并对生产周期中涉及的环境因素进行识别，对随之产生的环境影响进行评价，在后续采取有效的控制措施和影响措施，应对产品周期中可能产生的环境问题。</w:t>
      </w:r>
    </w:p>
    <w:p w14:paraId="4F735499">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公司形成铝产品生命周期环境影响评估记录，将之形成文件或传送至公司的网站，供内部和外部的机构或部门查询。</w:t>
      </w:r>
    </w:p>
    <w:p w14:paraId="1681628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7B74933C">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《环境因素识别和评价控制程序》</w:t>
      </w:r>
    </w:p>
    <w:p w14:paraId="6F48A74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《产品碳足迹报告》</w:t>
      </w:r>
    </w:p>
    <w:p w14:paraId="091C8C1B">
      <w:pPr>
        <w:spacing w:line="360" w:lineRule="auto"/>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lang w:val="en-US" w:eastAsia="zh-CN"/>
        </w:rPr>
        <w:t>LCA产品生命周期评估报告</w:t>
      </w:r>
      <w:r>
        <w:rPr>
          <w:rFonts w:hint="eastAsia" w:asciiTheme="minorEastAsia" w:hAnsiTheme="minorEastAsia" w:eastAsiaTheme="minorEastAsia" w:cstheme="minorEastAsia"/>
          <w:sz w:val="24"/>
          <w:lang w:eastAsia="zh-CN"/>
        </w:rPr>
        <w:t>》</w:t>
      </w:r>
    </w:p>
    <w:p w14:paraId="42415364">
      <w:pPr>
        <w:pStyle w:val="2"/>
        <w:spacing w:line="360" w:lineRule="auto"/>
        <w:rPr>
          <w:rFonts w:hint="eastAsia" w:asciiTheme="minorEastAsia" w:hAnsiTheme="minorEastAsia" w:eastAsiaTheme="minorEastAsia" w:cstheme="minorEastAsia"/>
          <w:b/>
          <w:szCs w:val="24"/>
        </w:rPr>
      </w:pPr>
      <w:bookmarkStart w:id="40" w:name="_Toc31919"/>
      <w:r>
        <w:rPr>
          <w:rFonts w:hint="eastAsia" w:asciiTheme="minorEastAsia" w:hAnsiTheme="minorEastAsia" w:eastAsiaTheme="minorEastAsia" w:cstheme="minorEastAsia"/>
          <w:b/>
          <w:szCs w:val="24"/>
        </w:rPr>
        <w:t>4.2 产品设计</w:t>
      </w:r>
      <w:bookmarkEnd w:id="40"/>
    </w:p>
    <w:p w14:paraId="68ADB752">
      <w:pPr>
        <w:spacing w:line="360" w:lineRule="auto"/>
        <w:rPr>
          <w:rFonts w:hint="eastAsia" w:eastAsiaTheme="minorEastAsia"/>
          <w:sz w:val="24"/>
        </w:rPr>
      </w:pPr>
      <w:r>
        <w:rPr>
          <w:rFonts w:hint="eastAsia" w:eastAsiaTheme="minorEastAsia"/>
          <w:sz w:val="24"/>
        </w:rPr>
        <w:t>公司建立了质量管理体系，</w:t>
      </w:r>
      <w:r>
        <w:rPr>
          <w:rFonts w:hint="eastAsia" w:eastAsiaTheme="minorEastAsia"/>
          <w:sz w:val="24"/>
          <w:lang w:val="en-US" w:eastAsia="zh-CN"/>
        </w:rPr>
        <w:t>公司产品均按照顾客提供的技术规范或要求进行生产，没有产品设计和开发能力及责任，仅保留过程设计和开发相关内容，不影响提供满足顾客和适用的法律法规要求的产品的能力或责任的要求。</w:t>
      </w:r>
    </w:p>
    <w:p w14:paraId="271D24F0">
      <w:pPr>
        <w:spacing w:line="360" w:lineRule="auto"/>
        <w:ind w:firstLine="480" w:firstLineChars="200"/>
        <w:rPr>
          <w:rFonts w:eastAsiaTheme="minorEastAsia"/>
          <w:sz w:val="24"/>
        </w:rPr>
      </w:pPr>
      <w:r>
        <w:rPr>
          <w:rFonts w:hint="eastAsia" w:eastAsiaTheme="minorEastAsia"/>
          <w:sz w:val="24"/>
          <w:lang w:val="en-US" w:eastAsia="zh-CN"/>
        </w:rPr>
        <w:t>公司</w:t>
      </w:r>
      <w:r>
        <w:rPr>
          <w:rFonts w:hint="eastAsia" w:eastAsiaTheme="minorEastAsia"/>
          <w:sz w:val="24"/>
        </w:rPr>
        <w:t>形</w:t>
      </w:r>
      <w:r>
        <w:rPr>
          <w:rFonts w:hint="eastAsia" w:eastAsiaTheme="minorEastAsia"/>
          <w:sz w:val="24"/>
          <w:highlight w:val="none"/>
        </w:rPr>
        <w:t>成了《</w:t>
      </w:r>
      <w:r>
        <w:rPr>
          <w:rFonts w:hint="eastAsia" w:eastAsiaTheme="minorEastAsia"/>
          <w:sz w:val="24"/>
          <w:highlight w:val="none"/>
          <w:lang w:eastAsia="zh-CN"/>
        </w:rPr>
        <w:t>产品先期策划管理控制程序</w:t>
      </w:r>
      <w:r>
        <w:rPr>
          <w:rFonts w:hint="eastAsia" w:eastAsiaTheme="minorEastAsia"/>
          <w:sz w:val="24"/>
          <w:highlight w:val="none"/>
        </w:rPr>
        <w:t>》，</w:t>
      </w:r>
      <w:r>
        <w:rPr>
          <w:rFonts w:hint="eastAsia" w:eastAsiaTheme="minorEastAsia"/>
          <w:sz w:val="24"/>
          <w:highlight w:val="none"/>
          <w:lang w:val="en-US" w:eastAsia="zh-CN"/>
        </w:rPr>
        <w:t>明确</w:t>
      </w:r>
      <w:r>
        <w:rPr>
          <w:rFonts w:hint="eastAsia" w:eastAsiaTheme="minorEastAsia"/>
          <w:sz w:val="24"/>
          <w:lang w:val="en-US" w:eastAsia="zh-CN"/>
        </w:rPr>
        <w:t>了</w:t>
      </w:r>
      <w:r>
        <w:rPr>
          <w:rFonts w:hint="eastAsia" w:eastAsiaTheme="minorEastAsia"/>
          <w:sz w:val="24"/>
        </w:rPr>
        <w:t>公司产品过程研发各阶段的工作步骤，促进与所涉及的每个职能部门的联系，保证产品过程设计与研发的质量和进程，以满足顾客和相关法规的要求</w:t>
      </w:r>
      <w:r>
        <w:rPr>
          <w:rFonts w:hint="eastAsia" w:eastAsiaTheme="minorEastAsia"/>
          <w:sz w:val="24"/>
          <w:lang w:eastAsia="zh-CN"/>
        </w:rPr>
        <w:t>。</w:t>
      </w:r>
      <w:r>
        <w:rPr>
          <w:rFonts w:eastAsiaTheme="minorEastAsia"/>
          <w:sz w:val="24"/>
        </w:rPr>
        <w:t>充分考虑对环境和社会安全有害的影响，</w:t>
      </w:r>
      <w:r>
        <w:rPr>
          <w:rFonts w:hint="eastAsia" w:eastAsiaTheme="minorEastAsia"/>
          <w:sz w:val="24"/>
          <w:lang w:val="en-US" w:eastAsia="zh-CN"/>
        </w:rPr>
        <w:t>对</w:t>
      </w:r>
      <w:r>
        <w:rPr>
          <w:rFonts w:eastAsiaTheme="minorEastAsia"/>
          <w:sz w:val="24"/>
        </w:rPr>
        <w:t>涉及的环境和社会安全目标进行跟踪，以提高产品和生产制造过程的可持续性。</w:t>
      </w:r>
    </w:p>
    <w:p w14:paraId="431AA591">
      <w:pPr>
        <w:spacing w:line="360" w:lineRule="auto"/>
        <w:rPr>
          <w:rFonts w:eastAsiaTheme="minorEastAsia"/>
          <w:sz w:val="24"/>
          <w:highlight w:val="none"/>
        </w:rPr>
      </w:pPr>
      <w:r>
        <w:rPr>
          <w:rFonts w:eastAsiaTheme="minorEastAsia"/>
          <w:sz w:val="24"/>
          <w:highlight w:val="none"/>
        </w:rPr>
        <w:t>本条支持文件：</w:t>
      </w:r>
    </w:p>
    <w:p w14:paraId="704E94F3">
      <w:pPr>
        <w:spacing w:line="360" w:lineRule="auto"/>
        <w:rPr>
          <w:rFonts w:eastAsiaTheme="minorEastAsia"/>
          <w:sz w:val="24"/>
          <w:highlight w:val="none"/>
        </w:rPr>
      </w:pPr>
      <w:r>
        <w:rPr>
          <w:rFonts w:eastAsiaTheme="minorEastAsia"/>
          <w:sz w:val="24"/>
          <w:highlight w:val="none"/>
        </w:rPr>
        <w:t>《</w:t>
      </w:r>
      <w:r>
        <w:rPr>
          <w:rFonts w:hint="eastAsia" w:eastAsiaTheme="minorEastAsia"/>
          <w:sz w:val="24"/>
          <w:highlight w:val="none"/>
          <w:lang w:val="en-US" w:eastAsia="zh-CN"/>
        </w:rPr>
        <w:t>质量管理手册</w:t>
      </w:r>
      <w:r>
        <w:rPr>
          <w:rFonts w:eastAsiaTheme="minorEastAsia"/>
          <w:sz w:val="24"/>
          <w:highlight w:val="none"/>
        </w:rPr>
        <w:t>》</w:t>
      </w:r>
    </w:p>
    <w:p w14:paraId="6C2ADC12">
      <w:pPr>
        <w:pStyle w:val="2"/>
        <w:spacing w:line="360" w:lineRule="auto"/>
        <w:rPr>
          <w:rFonts w:hint="eastAsia" w:eastAsiaTheme="minorEastAsia"/>
          <w:sz w:val="24"/>
          <w:highlight w:val="none"/>
          <w:lang w:eastAsia="zh-CN"/>
        </w:rPr>
      </w:pPr>
      <w:bookmarkStart w:id="41" w:name="_Toc19345"/>
      <w:r>
        <w:rPr>
          <w:rFonts w:hint="eastAsia" w:eastAsiaTheme="minorEastAsia"/>
          <w:sz w:val="24"/>
          <w:highlight w:val="none"/>
          <w:lang w:eastAsia="zh-CN"/>
        </w:rPr>
        <w:t>《产品先期策划管理控制程序》</w:t>
      </w:r>
    </w:p>
    <w:p w14:paraId="42467010">
      <w:pPr>
        <w:pStyle w:val="2"/>
        <w:spacing w:line="360" w:lineRule="auto"/>
        <w:rPr>
          <w:rFonts w:hint="eastAsia" w:asciiTheme="minorEastAsia" w:hAnsiTheme="minorEastAsia" w:eastAsiaTheme="minorEastAsia" w:cstheme="minorEastAsia"/>
          <w:b/>
          <w:szCs w:val="24"/>
        </w:rPr>
      </w:pPr>
      <w:r>
        <w:rPr>
          <w:rFonts w:hint="eastAsia" w:asciiTheme="minorEastAsia" w:hAnsiTheme="minorEastAsia" w:eastAsiaTheme="minorEastAsia" w:cstheme="minorEastAsia"/>
          <w:b/>
          <w:szCs w:val="24"/>
        </w:rPr>
        <w:t>4.3 铝的工艺废料</w:t>
      </w:r>
      <w:bookmarkEnd w:id="41"/>
    </w:p>
    <w:p w14:paraId="2345F93F">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公司在生产运营中，建立生产工艺要求和操作指导书，尽量减少铝工艺废料的产生。设立了废料回收、循环利用或再次使用的目标。</w:t>
      </w:r>
    </w:p>
    <w:p w14:paraId="4E779AC9">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当产成品整批次严重不符合技术标准且不能进行修复、不能改作他用、客户不能让步接收时，作回炉/重熔处理，以便循环利用。</w:t>
      </w:r>
    </w:p>
    <w:p w14:paraId="5D79F40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71303DE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《不合格</w:t>
      </w:r>
      <w:r>
        <w:rPr>
          <w:rFonts w:hint="eastAsia" w:asciiTheme="minorEastAsia" w:hAnsiTheme="minorEastAsia" w:eastAsiaTheme="minorEastAsia" w:cstheme="minorEastAsia"/>
          <w:sz w:val="24"/>
          <w:lang w:val="en-US" w:eastAsia="zh-CN"/>
        </w:rPr>
        <w:t>品</w:t>
      </w:r>
      <w:r>
        <w:rPr>
          <w:rFonts w:hint="eastAsia" w:asciiTheme="minorEastAsia" w:hAnsiTheme="minorEastAsia" w:eastAsiaTheme="minorEastAsia" w:cstheme="minorEastAsia"/>
          <w:sz w:val="24"/>
        </w:rPr>
        <w:t>控制程序》</w:t>
      </w:r>
    </w:p>
    <w:p w14:paraId="10823354">
      <w:pPr>
        <w:pStyle w:val="2"/>
        <w:spacing w:line="360" w:lineRule="auto"/>
        <w:rPr>
          <w:rFonts w:hint="eastAsia" w:asciiTheme="minorEastAsia" w:hAnsiTheme="minorEastAsia" w:eastAsiaTheme="minorEastAsia" w:cstheme="minorEastAsia"/>
          <w:b/>
          <w:szCs w:val="24"/>
        </w:rPr>
      </w:pPr>
      <w:bookmarkStart w:id="42" w:name="_Toc26441"/>
      <w:r>
        <w:rPr>
          <w:rFonts w:hint="eastAsia" w:asciiTheme="minorEastAsia" w:hAnsiTheme="minorEastAsia" w:eastAsiaTheme="minorEastAsia" w:cstheme="minorEastAsia"/>
          <w:b/>
          <w:szCs w:val="24"/>
        </w:rPr>
        <w:t>4.4 报废产品的回收和循环利用</w:t>
      </w:r>
      <w:bookmarkEnd w:id="42"/>
    </w:p>
    <w:p w14:paraId="57BD4A93">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施行循环利用战略，每年制定报废产品再利用的活动和目标。对报废产品进行循环利用，以便降低铝矿开采的压力，提高铝的利用率。公司对报废产品的回收和循环利用情况进行统计，努力提高含铝产品在相关市场的再生循环利用率。</w:t>
      </w:r>
    </w:p>
    <w:p w14:paraId="0F1F8DC7">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经营部</w:t>
      </w:r>
      <w:r>
        <w:rPr>
          <w:rFonts w:hint="eastAsia" w:asciiTheme="minorEastAsia" w:hAnsiTheme="minorEastAsia" w:eastAsiaTheme="minorEastAsia" w:cstheme="minorEastAsia"/>
          <w:sz w:val="24"/>
        </w:rPr>
        <w:t>应：</w:t>
      </w:r>
    </w:p>
    <w:p w14:paraId="3465014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w:t>
      </w:r>
      <w:r>
        <w:rPr>
          <w:rFonts w:hint="eastAsia" w:asciiTheme="minorEastAsia" w:hAnsiTheme="minorEastAsia" w:eastAsiaTheme="minorEastAsia" w:cstheme="minorEastAsia"/>
          <w:sz w:val="24"/>
        </w:rPr>
        <w:t>实施回收利用战略，包括具体的时间表、活动和目标。</w:t>
      </w:r>
    </w:p>
    <w:p w14:paraId="21EEDE75">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至少每五年对回收战略进行复审。</w:t>
      </w:r>
    </w:p>
    <w:p w14:paraId="63D8E3E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公开披露最新版的回收战略。</w:t>
      </w:r>
    </w:p>
    <w:p w14:paraId="0241564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4）</w:t>
      </w:r>
      <w:r>
        <w:rPr>
          <w:rFonts w:hint="eastAsia" w:asciiTheme="minorEastAsia" w:hAnsiTheme="minorEastAsia" w:eastAsiaTheme="minorEastAsia" w:cstheme="minorEastAsia"/>
          <w:sz w:val="24"/>
        </w:rPr>
        <w:t>应与当地的、区域性的或全国性的收集、回收系统紧密配合，支持准确衡量并努力提高他们的含铝产品在相关市场的再生循环利用率。</w:t>
      </w:r>
    </w:p>
    <w:p w14:paraId="76C8952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313CD205">
      <w:pPr>
        <w:spacing w:line="360" w:lineRule="auto"/>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lang w:val="en-US" w:eastAsia="zh-CN"/>
        </w:rPr>
        <w:t>再生铝回收年度计划和实际情况</w:t>
      </w:r>
      <w:r>
        <w:rPr>
          <w:rFonts w:hint="eastAsia" w:asciiTheme="minorEastAsia" w:hAnsiTheme="minorEastAsia" w:eastAsiaTheme="minorEastAsia" w:cstheme="minorEastAsia"/>
          <w:sz w:val="24"/>
          <w:lang w:eastAsia="zh-CN"/>
        </w:rPr>
        <w:t>》</w:t>
      </w:r>
    </w:p>
    <w:p w14:paraId="5F5606FC">
      <w:pPr>
        <w:spacing w:line="360" w:lineRule="auto"/>
        <w:rPr>
          <w:rFonts w:eastAsiaTheme="minorEastAsia"/>
          <w:sz w:val="24"/>
        </w:rPr>
      </w:pPr>
      <w:r>
        <w:rPr>
          <w:rFonts w:eastAsiaTheme="minorEastAsia"/>
          <w:sz w:val="24"/>
        </w:rPr>
        <w:br w:type="page"/>
      </w:r>
    </w:p>
    <w:p w14:paraId="0256C7DE">
      <w:pPr>
        <w:pStyle w:val="25"/>
        <w:spacing w:before="0" w:after="0" w:line="360" w:lineRule="auto"/>
        <w:rPr>
          <w:rFonts w:hint="eastAsia" w:ascii="微软雅黑" w:hAnsi="微软雅黑" w:eastAsia="微软雅黑" w:cs="微软雅黑"/>
          <w:sz w:val="30"/>
          <w:szCs w:val="30"/>
        </w:rPr>
      </w:pPr>
      <w:bookmarkStart w:id="43" w:name="_Toc26104"/>
      <w:r>
        <w:rPr>
          <w:rFonts w:hint="eastAsia" w:ascii="微软雅黑" w:hAnsi="微软雅黑" w:eastAsia="微软雅黑" w:cs="微软雅黑"/>
          <w:sz w:val="30"/>
          <w:szCs w:val="30"/>
        </w:rPr>
        <w:t>5环境</w:t>
      </w:r>
      <w:bookmarkEnd w:id="43"/>
    </w:p>
    <w:p w14:paraId="00A9D0FD">
      <w:pPr>
        <w:spacing w:line="360" w:lineRule="auto"/>
        <w:rPr>
          <w:rFonts w:hint="eastAsia" w:eastAsiaTheme="minorEastAsia"/>
          <w:sz w:val="24"/>
          <w:szCs w:val="24"/>
        </w:rPr>
      </w:pPr>
      <w:r>
        <w:rPr>
          <w:rFonts w:eastAsiaTheme="minorEastAsia"/>
          <w:sz w:val="24"/>
        </w:rPr>
        <w:t>原则：根据联合国气候变化框架公约所制定的最终目标，实体应从生命周期的角度致力于温室气体减排，以减轻其对全球气候的负面影响。</w:t>
      </w:r>
    </w:p>
    <w:p w14:paraId="2F11E3BF">
      <w:pPr>
        <w:pStyle w:val="2"/>
        <w:spacing w:line="360" w:lineRule="auto"/>
        <w:rPr>
          <w:rFonts w:hint="eastAsia" w:asciiTheme="minorEastAsia" w:hAnsiTheme="minorEastAsia" w:eastAsiaTheme="minorEastAsia" w:cstheme="minorEastAsia"/>
          <w:b/>
          <w:szCs w:val="24"/>
        </w:rPr>
      </w:pPr>
      <w:bookmarkStart w:id="44" w:name="_Toc29592"/>
      <w:r>
        <w:rPr>
          <w:rFonts w:hint="eastAsia" w:asciiTheme="minorEastAsia" w:hAnsiTheme="minorEastAsia" w:eastAsiaTheme="minorEastAsia" w:cstheme="minorEastAsia"/>
          <w:b/>
          <w:szCs w:val="24"/>
        </w:rPr>
        <w:t>5.1披露温室气体排放和能源使用情况</w:t>
      </w:r>
      <w:bookmarkEnd w:id="44"/>
    </w:p>
    <w:p w14:paraId="2968D925">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管理部</w:t>
      </w:r>
      <w:r>
        <w:rPr>
          <w:rFonts w:hint="eastAsia" w:asciiTheme="minorEastAsia" w:hAnsiTheme="minorEastAsia" w:eastAsiaTheme="minorEastAsia" w:cstheme="minorEastAsia"/>
          <w:sz w:val="24"/>
        </w:rPr>
        <w:t>每年组织对公司的温室气体排放情况进行核查，并编写《公司产品温室气体GHG排查清册及排放量》，由管理部对公司的温室气体排放和各种能源使用情况进行公开。</w:t>
      </w:r>
    </w:p>
    <w:p w14:paraId="365F186A">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公司根据ISO 14064: 2006的要求，在进行温室气体的核查过程中：识别公司温室气体排放的边界、主要的排放设备、重点排放源和取样重点、排放源变更情况；确定计算排放量使用的活动数据及排放因子；收集、处理及保存温室气体排放量相关信息的数据质量管理系统。</w:t>
      </w:r>
    </w:p>
    <w:p w14:paraId="79386848">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公司每年的温室气体排放必须实际计算公司的所有的直接温室气体排放，由于外购电带来的间接温室气体排放信息。</w:t>
      </w:r>
    </w:p>
    <w:p w14:paraId="622C036E">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最终公司的温室气体排放信息需汇总形成年度的《公司产品温室气体GHG排查清册及排放量》，公司年度的温室气体排放的结果在《可持续发展报告》中对外界公示。</w:t>
      </w:r>
    </w:p>
    <w:p w14:paraId="4D8C789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0DC31F4E">
      <w:pPr>
        <w:spacing w:line="360" w:lineRule="auto"/>
        <w:rPr>
          <w:rFonts w:eastAsiaTheme="minorEastAsia"/>
          <w:sz w:val="24"/>
        </w:rPr>
      </w:pP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温室气体排放盘查报告</w:t>
      </w:r>
      <w:r>
        <w:rPr>
          <w:rFonts w:hint="eastAsia" w:asciiTheme="minorEastAsia" w:hAnsiTheme="minorEastAsia" w:eastAsiaTheme="minorEastAsia" w:cstheme="minorEastAsia"/>
          <w:sz w:val="24"/>
        </w:rPr>
        <w:t>》</w:t>
      </w:r>
    </w:p>
    <w:p w14:paraId="3FE7D350">
      <w:pPr>
        <w:pStyle w:val="2"/>
        <w:spacing w:line="360" w:lineRule="auto"/>
        <w:rPr>
          <w:rFonts w:hint="eastAsia" w:asciiTheme="minorEastAsia" w:hAnsiTheme="minorEastAsia" w:eastAsiaTheme="minorEastAsia" w:cstheme="minorEastAsia"/>
          <w:b/>
          <w:szCs w:val="24"/>
        </w:rPr>
      </w:pPr>
      <w:bookmarkStart w:id="45" w:name="_Toc28704"/>
      <w:r>
        <w:rPr>
          <w:rFonts w:hint="eastAsia" w:asciiTheme="minorEastAsia" w:hAnsiTheme="minorEastAsia" w:eastAsiaTheme="minorEastAsia" w:cstheme="minorEastAsia"/>
          <w:b/>
          <w:szCs w:val="24"/>
        </w:rPr>
        <w:t>5.2铝冶炼厂温室气体排放强度</w:t>
      </w:r>
      <w:bookmarkEnd w:id="45"/>
    </w:p>
    <w:p w14:paraId="609D1CEE">
      <w:pPr>
        <w:spacing w:line="360" w:lineRule="auto"/>
        <w:ind w:firstLine="480" w:firstLineChars="200"/>
        <w:rPr>
          <w:rFonts w:hint="eastAsia" w:eastAsiaTheme="minorEastAsia"/>
          <w:sz w:val="24"/>
          <w:szCs w:val="24"/>
        </w:rPr>
      </w:pPr>
      <w:r>
        <w:rPr>
          <w:rFonts w:eastAsiaTheme="minorEastAsia"/>
          <w:sz w:val="24"/>
        </w:rPr>
        <w:t>本公司为材料生产企业，本条不适用。</w:t>
      </w:r>
    </w:p>
    <w:p w14:paraId="3883B1FF">
      <w:pPr>
        <w:pStyle w:val="2"/>
        <w:spacing w:line="360" w:lineRule="auto"/>
        <w:rPr>
          <w:rFonts w:hint="eastAsia" w:asciiTheme="minorEastAsia" w:hAnsiTheme="minorEastAsia" w:eastAsiaTheme="minorEastAsia" w:cstheme="minorEastAsia"/>
          <w:b/>
          <w:szCs w:val="24"/>
        </w:rPr>
      </w:pPr>
      <w:bookmarkStart w:id="46" w:name="_Toc772"/>
      <w:r>
        <w:rPr>
          <w:rFonts w:hint="eastAsia" w:asciiTheme="minorEastAsia" w:hAnsiTheme="minorEastAsia" w:eastAsiaTheme="minorEastAsia" w:cstheme="minorEastAsia"/>
          <w:b/>
          <w:szCs w:val="24"/>
        </w:rPr>
        <w:t>5.3温室气体减排</w:t>
      </w:r>
      <w:bookmarkEnd w:id="46"/>
    </w:p>
    <w:p w14:paraId="2F50431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5.3.1公司根据年度的《公司产品温室气体GHG排查清册及排放量》制定下一年度的温室气体减排目标，在下一年的《可持续发展报告》中，对前一年度的减排目标的实现情况进行跟踪和评价。</w:t>
      </w:r>
    </w:p>
    <w:p w14:paraId="62F73E8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5.3.2 制订温室气体减排计划，并确保温室气体减排途径符合全球温升控制在1.5摄氏度的情景要求，在可用时使用ASI认可的方法论。</w:t>
      </w:r>
    </w:p>
    <w:p w14:paraId="4225B6C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5.3.3确保温室气体减排路径包括一个不超过五年的中期目标，并且：</w:t>
      </w:r>
    </w:p>
    <w:p w14:paraId="3BE2AB7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w:t>
      </w:r>
      <w:r>
        <w:rPr>
          <w:rFonts w:hint="eastAsia" w:asciiTheme="minorEastAsia" w:hAnsiTheme="minorEastAsia" w:eastAsiaTheme="minorEastAsia" w:cstheme="minorEastAsia"/>
          <w:sz w:val="24"/>
        </w:rPr>
        <w:t>涉及所有直接和间接排放。</w:t>
      </w:r>
    </w:p>
    <w:p w14:paraId="01D7E725">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在可用时，使用ASI认可的基于科学的方法来制订。</w:t>
      </w:r>
    </w:p>
    <w:p w14:paraId="52CB28C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要公开披露这一中期减排计划和目标。</w:t>
      </w:r>
    </w:p>
    <w:p w14:paraId="56E8CFFC">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5.3.4每年复审温室气体减排计划。</w:t>
      </w:r>
    </w:p>
    <w:p w14:paraId="3C7FD80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5.3.5在企业改变减排基准或目标时，对温室气体排放路径进行复审。</w:t>
      </w:r>
    </w:p>
    <w:p w14:paraId="0F8F6A7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5.3.6公开披露：</w:t>
      </w:r>
    </w:p>
    <w:p w14:paraId="0BF37275">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w:t>
      </w:r>
      <w:r>
        <w:rPr>
          <w:rFonts w:hint="eastAsia" w:asciiTheme="minorEastAsia" w:hAnsiTheme="minorEastAsia" w:eastAsiaTheme="minorEastAsia" w:cstheme="minorEastAsia"/>
          <w:sz w:val="24"/>
        </w:rPr>
        <w:t>最新版的温室气体减排路径</w:t>
      </w:r>
    </w:p>
    <w:p w14:paraId="1F5261AC">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最新版的温室气体减排计划</w:t>
      </w:r>
    </w:p>
    <w:p w14:paraId="6CD70A0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每年温室气体减排计划的进展</w:t>
      </w:r>
    </w:p>
    <w:p w14:paraId="352B108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6F61CF14">
      <w:pPr>
        <w:spacing w:line="360" w:lineRule="auto"/>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lang w:val="en-US" w:eastAsia="zh-CN"/>
        </w:rPr>
        <w:t>温室气体减排内容及计划</w:t>
      </w:r>
      <w:r>
        <w:rPr>
          <w:rFonts w:hint="eastAsia" w:asciiTheme="minorEastAsia" w:hAnsiTheme="minorEastAsia" w:eastAsiaTheme="minorEastAsia" w:cstheme="minorEastAsia"/>
          <w:sz w:val="24"/>
          <w:lang w:eastAsia="zh-CN"/>
        </w:rPr>
        <w:t>》</w:t>
      </w:r>
    </w:p>
    <w:p w14:paraId="223BD7EB">
      <w:pPr>
        <w:spacing w:line="360" w:lineRule="auto"/>
        <w:rPr>
          <w:rFonts w:hint="eastAsia" w:eastAsiaTheme="minorEastAsia"/>
          <w:sz w:val="24"/>
          <w:szCs w:val="24"/>
        </w:rPr>
      </w:pPr>
      <w:r>
        <w:rPr>
          <w:rFonts w:hint="eastAsia" w:asciiTheme="minorEastAsia" w:hAnsiTheme="minorEastAsia" w:eastAsiaTheme="minorEastAsia" w:cstheme="minorEastAsia"/>
          <w:sz w:val="24"/>
        </w:rPr>
        <w:t>《可持续发展报告》</w:t>
      </w:r>
    </w:p>
    <w:p w14:paraId="70088AD7">
      <w:pPr>
        <w:pStyle w:val="2"/>
        <w:spacing w:line="360" w:lineRule="auto"/>
        <w:rPr>
          <w:rFonts w:hint="eastAsia" w:asciiTheme="minorEastAsia" w:hAnsiTheme="minorEastAsia" w:eastAsiaTheme="minorEastAsia" w:cstheme="minorEastAsia"/>
          <w:b/>
          <w:szCs w:val="24"/>
        </w:rPr>
      </w:pPr>
      <w:bookmarkStart w:id="47" w:name="_Toc1745"/>
      <w:r>
        <w:rPr>
          <w:rFonts w:hint="eastAsia" w:asciiTheme="minorEastAsia" w:hAnsiTheme="minorEastAsia" w:eastAsiaTheme="minorEastAsia" w:cstheme="minorEastAsia"/>
          <w:b/>
          <w:szCs w:val="24"/>
        </w:rPr>
        <w:t>5.4温室气体排放管理</w:t>
      </w:r>
      <w:bookmarkEnd w:id="47"/>
    </w:p>
    <w:p w14:paraId="1E1B331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公司应建立并实施ISO50001能源管理体</w:t>
      </w:r>
      <w:r>
        <w:rPr>
          <w:rFonts w:hint="eastAsia" w:asciiTheme="minorEastAsia" w:hAnsiTheme="minorEastAsia" w:eastAsiaTheme="minorEastAsia" w:cstheme="minorEastAsia"/>
          <w:color w:val="auto"/>
          <w:sz w:val="24"/>
        </w:rPr>
        <w:t>系</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ISO14064温室气体排放管理体系</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sz w:val="24"/>
        </w:rPr>
        <w:t>建立必要的</w:t>
      </w:r>
      <w:r>
        <w:rPr>
          <w:rFonts w:hint="eastAsia" w:asciiTheme="minorEastAsia" w:hAnsiTheme="minorEastAsia" w:eastAsiaTheme="minorEastAsia" w:cstheme="minorEastAsia"/>
          <w:sz w:val="24"/>
          <w:lang w:val="en-US" w:eastAsia="zh-CN"/>
        </w:rPr>
        <w:t>管理规定</w:t>
      </w:r>
      <w:r>
        <w:rPr>
          <w:rFonts w:hint="eastAsia" w:asciiTheme="minorEastAsia" w:hAnsiTheme="minorEastAsia" w:eastAsiaTheme="minorEastAsia" w:cstheme="minorEastAsia"/>
          <w:sz w:val="24"/>
        </w:rPr>
        <w:t>、评价程序和运行控制，以实现与准则5.3中制定的温室气体减排计划和目标相符合的减排绩效。</w:t>
      </w:r>
    </w:p>
    <w:p w14:paraId="00CB0199">
      <w:pPr>
        <w:spacing w:line="360" w:lineRule="auto"/>
        <w:rPr>
          <w:rFonts w:hint="eastAsia" w:eastAsiaTheme="minorEastAsia"/>
          <w:sz w:val="24"/>
        </w:rPr>
      </w:pPr>
    </w:p>
    <w:p w14:paraId="25B817E2">
      <w:pPr>
        <w:spacing w:line="360" w:lineRule="auto"/>
        <w:ind w:firstLine="480" w:firstLineChars="200"/>
        <w:rPr>
          <w:rFonts w:eastAsiaTheme="minorEastAsia"/>
          <w:sz w:val="24"/>
        </w:rPr>
      </w:pPr>
    </w:p>
    <w:p w14:paraId="632B5329">
      <w:pPr>
        <w:spacing w:line="360" w:lineRule="auto"/>
        <w:rPr>
          <w:rFonts w:eastAsiaTheme="minorEastAsia"/>
          <w:sz w:val="24"/>
        </w:rPr>
      </w:pPr>
      <w:r>
        <w:rPr>
          <w:rFonts w:eastAsiaTheme="minorEastAsia"/>
          <w:sz w:val="24"/>
        </w:rPr>
        <w:br w:type="page"/>
      </w:r>
    </w:p>
    <w:p w14:paraId="10222E21">
      <w:pPr>
        <w:pStyle w:val="25"/>
        <w:spacing w:before="0" w:after="0" w:line="360" w:lineRule="auto"/>
        <w:rPr>
          <w:rFonts w:hint="eastAsia" w:ascii="微软雅黑" w:hAnsi="微软雅黑" w:eastAsia="微软雅黑" w:cs="微软雅黑"/>
          <w:sz w:val="30"/>
          <w:szCs w:val="30"/>
        </w:rPr>
      </w:pPr>
      <w:bookmarkStart w:id="48" w:name="_Toc1069"/>
      <w:r>
        <w:rPr>
          <w:rFonts w:hint="eastAsia" w:ascii="微软雅黑" w:hAnsi="微软雅黑" w:eastAsia="微软雅黑" w:cs="微软雅黑"/>
          <w:sz w:val="30"/>
          <w:szCs w:val="30"/>
        </w:rPr>
        <w:t>6大气污染物、水污染物和固体废物</w:t>
      </w:r>
      <w:bookmarkEnd w:id="48"/>
    </w:p>
    <w:p w14:paraId="22907CC6">
      <w:pPr>
        <w:spacing w:line="360" w:lineRule="auto"/>
        <w:rPr>
          <w:rFonts w:hint="eastAsia" w:eastAsiaTheme="minorEastAsia"/>
          <w:sz w:val="24"/>
          <w:szCs w:val="24"/>
        </w:rPr>
      </w:pPr>
      <w:r>
        <w:rPr>
          <w:rFonts w:eastAsiaTheme="minorEastAsia"/>
          <w:sz w:val="24"/>
        </w:rPr>
        <w:t>原则：实体应将对人体健康和环境有不利影响的大气污染物排放和水污染物排放降到最低，并根据废物减缓层级管理废物。</w:t>
      </w:r>
    </w:p>
    <w:p w14:paraId="48924D3D">
      <w:pPr>
        <w:pStyle w:val="2"/>
        <w:spacing w:line="360" w:lineRule="auto"/>
        <w:rPr>
          <w:rFonts w:hint="eastAsia" w:asciiTheme="minorEastAsia" w:hAnsiTheme="minorEastAsia" w:eastAsiaTheme="minorEastAsia" w:cstheme="minorEastAsia"/>
          <w:b/>
          <w:szCs w:val="24"/>
        </w:rPr>
      </w:pPr>
      <w:bookmarkStart w:id="49" w:name="_Toc30528"/>
      <w:r>
        <w:rPr>
          <w:rFonts w:hint="eastAsia" w:asciiTheme="minorEastAsia" w:hAnsiTheme="minorEastAsia" w:eastAsiaTheme="minorEastAsia" w:cstheme="minorEastAsia"/>
          <w:b/>
          <w:szCs w:val="24"/>
        </w:rPr>
        <w:t>6.1大气污染物排放</w:t>
      </w:r>
      <w:bookmarkEnd w:id="49"/>
    </w:p>
    <w:p w14:paraId="4D623D7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6.1.1公司建立了大气污染物排放的目标和指标，根据目标指标的要求形成了实现大气污染物排放目标的具体措施，建立了《</w:t>
      </w:r>
      <w:r>
        <w:rPr>
          <w:rFonts w:hint="eastAsia" w:asciiTheme="minorEastAsia" w:hAnsiTheme="minorEastAsia" w:eastAsiaTheme="minorEastAsia" w:cstheme="minorEastAsia"/>
          <w:sz w:val="24"/>
          <w:lang w:val="en-US" w:eastAsia="zh-CN"/>
        </w:rPr>
        <w:t>污染物排放量及减排计划</w:t>
      </w:r>
      <w:r>
        <w:rPr>
          <w:rFonts w:hint="eastAsia" w:asciiTheme="minorEastAsia" w:hAnsiTheme="minorEastAsia" w:eastAsiaTheme="minorEastAsia" w:cstheme="minorEastAsia"/>
          <w:sz w:val="24"/>
        </w:rPr>
        <w:t>》，在日常的生产活动中运行控制，减少大气污染物的排放，使大气污染物的排放浓度和排放总量符合目标的要求。并在可能的情况下量化和公开披露其影响范围内的主要排放。</w:t>
      </w:r>
    </w:p>
    <w:p w14:paraId="4CA32F0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6.1.2管理部定期委托外部的环境检测机构对公司的大气污染物的排放情况进行监测，形成《检测报告》，以证实公司的废气排放符合要求。</w:t>
      </w:r>
    </w:p>
    <w:p w14:paraId="7449B33E">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6.1.3至少每五年对减排计划进行一次复审。</w:t>
      </w:r>
    </w:p>
    <w:p w14:paraId="4A6E3CD2">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6.1.4在出现任何超过内部或外部规定的排放限值后，对计划进行审查。</w:t>
      </w:r>
    </w:p>
    <w:p w14:paraId="25D1A26B">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6.1.5在企业发生任何变动，导致企业大气污染物排放的主要风险发生变化时，对计划进行审查。</w:t>
      </w:r>
    </w:p>
    <w:p w14:paraId="66C905C6">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6.1.6公开披</w:t>
      </w:r>
      <w:r>
        <w:rPr>
          <w:rFonts w:hint="eastAsia" w:asciiTheme="minorEastAsia" w:hAnsiTheme="minorEastAsia" w:eastAsiaTheme="minorEastAsia" w:cstheme="minorEastAsia"/>
          <w:kern w:val="0"/>
          <w:sz w:val="24"/>
        </w:rPr>
        <w:t>露最新版本的计划</w:t>
      </w:r>
    </w:p>
    <w:p w14:paraId="613A2E5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65DAD334">
      <w:pPr>
        <w:spacing w:line="360" w:lineRule="auto"/>
        <w:rPr>
          <w:rFonts w:hint="eastAsia" w:asciiTheme="minorEastAsia" w:hAnsiTheme="minorEastAsia" w:eastAsiaTheme="minorEastAsia" w:cstheme="minorEastAsia"/>
          <w:sz w:val="24"/>
        </w:rPr>
      </w:pPr>
      <w:commentRangeStart w:id="2"/>
      <w:r>
        <w:rPr>
          <w:rFonts w:hint="eastAsia" w:asciiTheme="minorEastAsia" w:hAnsiTheme="minorEastAsia" w:eastAsiaTheme="minorEastAsia" w:cstheme="minorEastAsia"/>
          <w:sz w:val="24"/>
        </w:rPr>
        <w:t>《废气控制</w:t>
      </w:r>
      <w:r>
        <w:rPr>
          <w:rFonts w:hint="eastAsia" w:asciiTheme="minorEastAsia" w:hAnsiTheme="minorEastAsia" w:eastAsiaTheme="minorEastAsia" w:cstheme="minorEastAsia"/>
          <w:sz w:val="24"/>
          <w:lang w:val="en-US" w:eastAsia="zh-CN"/>
        </w:rPr>
        <w:t>程序</w:t>
      </w:r>
      <w:r>
        <w:rPr>
          <w:rFonts w:hint="eastAsia" w:asciiTheme="minorEastAsia" w:hAnsiTheme="minorEastAsia" w:eastAsiaTheme="minorEastAsia" w:cstheme="minorEastAsia"/>
          <w:sz w:val="24"/>
        </w:rPr>
        <w:t>》</w:t>
      </w:r>
    </w:p>
    <w:p w14:paraId="1D9FCA2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《固废物排放控制程序》</w:t>
      </w:r>
      <w:commentRangeEnd w:id="2"/>
      <w:r>
        <w:commentReference w:id="2"/>
      </w:r>
    </w:p>
    <w:p w14:paraId="50B446C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《环境检测报告》</w:t>
      </w:r>
    </w:p>
    <w:p w14:paraId="72A75080">
      <w:pPr>
        <w:spacing w:line="360" w:lineRule="auto"/>
        <w:rPr>
          <w:rFonts w:hint="eastAsia" w:eastAsiaTheme="minorEastAsia"/>
          <w:sz w:val="24"/>
          <w:szCs w:val="24"/>
        </w:rPr>
      </w:pP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污染物排放量及减排计划</w:t>
      </w:r>
      <w:r>
        <w:rPr>
          <w:rFonts w:hint="eastAsia" w:asciiTheme="minorEastAsia" w:hAnsiTheme="minorEastAsia" w:eastAsiaTheme="minorEastAsia" w:cstheme="minorEastAsia"/>
          <w:sz w:val="24"/>
        </w:rPr>
        <w:t>》</w:t>
      </w:r>
    </w:p>
    <w:p w14:paraId="2F0B46D6">
      <w:pPr>
        <w:pStyle w:val="2"/>
        <w:spacing w:line="360" w:lineRule="auto"/>
        <w:rPr>
          <w:rFonts w:hint="eastAsia" w:asciiTheme="minorEastAsia" w:hAnsiTheme="minorEastAsia" w:eastAsiaTheme="minorEastAsia" w:cstheme="minorEastAsia"/>
          <w:b/>
          <w:szCs w:val="24"/>
        </w:rPr>
      </w:pPr>
      <w:bookmarkStart w:id="50" w:name="_Toc3135"/>
      <w:r>
        <w:rPr>
          <w:rFonts w:hint="eastAsia" w:asciiTheme="minorEastAsia" w:hAnsiTheme="minorEastAsia" w:eastAsiaTheme="minorEastAsia" w:cstheme="minorEastAsia"/>
          <w:b/>
          <w:szCs w:val="24"/>
        </w:rPr>
        <w:t>6.2 水污染排放</w:t>
      </w:r>
      <w:bookmarkEnd w:id="50"/>
    </w:p>
    <w:p w14:paraId="5EA948B9">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6.2.1公司建立了水污染物排放的目标和指标，在日常的生产活动中实行运行控制，减少水污染物的排放，使水污染物的排放质量符合目标的要求。并在可能的情况下量化和公开披露其影响范围内的主要排放。</w:t>
      </w:r>
    </w:p>
    <w:p w14:paraId="0CD70F6C">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6.2.2管理部定期委托外部的环境检测机构对公司的水污染物的排放情况进行监测，形成《检测报告》，以证实公司的废水排放符合要求。</w:t>
      </w:r>
    </w:p>
    <w:p w14:paraId="4D4A9452">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w:t>
      </w: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.3至少每五年对减排计划进行一次复审。</w:t>
      </w:r>
    </w:p>
    <w:p w14:paraId="4128DBF1">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w:t>
      </w: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.4在出现任何超过内部或外部规定的排放限值后，对计划进行审查。</w:t>
      </w:r>
    </w:p>
    <w:p w14:paraId="752AC056">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w:t>
      </w: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.5在企业发生任何变动，导致企业大气污染物排放的主要风险发生变化时，对计划进行审查。</w:t>
      </w:r>
    </w:p>
    <w:p w14:paraId="0421AA1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w:t>
      </w: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.6公开披</w:t>
      </w:r>
      <w:r>
        <w:rPr>
          <w:rFonts w:hint="eastAsia" w:asciiTheme="minorEastAsia" w:hAnsiTheme="minorEastAsia" w:eastAsiaTheme="minorEastAsia" w:cstheme="minorEastAsia"/>
          <w:kern w:val="0"/>
          <w:sz w:val="24"/>
        </w:rPr>
        <w:t>露最新版本的计划</w:t>
      </w:r>
    </w:p>
    <w:p w14:paraId="0336D27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629639D1">
      <w:pPr>
        <w:spacing w:line="360" w:lineRule="auto"/>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《废水</w:t>
      </w:r>
      <w:r>
        <w:rPr>
          <w:rFonts w:hint="eastAsia" w:asciiTheme="minorEastAsia" w:hAnsiTheme="minorEastAsia" w:eastAsiaTheme="minorEastAsia" w:cstheme="minorEastAsia"/>
          <w:sz w:val="24"/>
          <w:highlight w:val="none"/>
          <w:lang w:val="en-US" w:eastAsia="zh-CN"/>
        </w:rPr>
        <w:t>控制程序</w:t>
      </w:r>
      <w:r>
        <w:rPr>
          <w:rFonts w:hint="eastAsia" w:asciiTheme="minorEastAsia" w:hAnsiTheme="minorEastAsia" w:eastAsiaTheme="minorEastAsia" w:cstheme="minorEastAsia"/>
          <w:sz w:val="24"/>
          <w:highlight w:val="none"/>
        </w:rPr>
        <w:t>》</w:t>
      </w:r>
    </w:p>
    <w:p w14:paraId="17C826BA">
      <w:pPr>
        <w:spacing w:line="360" w:lineRule="auto"/>
        <w:rPr>
          <w:rFonts w:hint="eastAsia" w:eastAsiaTheme="minorEastAsia"/>
          <w:sz w:val="24"/>
          <w:szCs w:val="24"/>
        </w:rPr>
      </w:pP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水</w:t>
      </w:r>
      <w:r>
        <w:rPr>
          <w:rFonts w:hint="eastAsia" w:asciiTheme="minorEastAsia" w:hAnsiTheme="minorEastAsia" w:eastAsiaTheme="minorEastAsia" w:cstheme="minorEastAsia"/>
          <w:sz w:val="24"/>
        </w:rPr>
        <w:t>检测报告》</w:t>
      </w:r>
    </w:p>
    <w:p w14:paraId="2D641A52">
      <w:pPr>
        <w:pStyle w:val="2"/>
        <w:spacing w:line="360" w:lineRule="auto"/>
        <w:rPr>
          <w:rFonts w:hint="eastAsia" w:asciiTheme="minorEastAsia" w:hAnsiTheme="minorEastAsia" w:eastAsiaTheme="minorEastAsia" w:cstheme="minorEastAsia"/>
          <w:b/>
          <w:szCs w:val="24"/>
        </w:rPr>
      </w:pPr>
      <w:bookmarkStart w:id="51" w:name="_Toc13196"/>
      <w:r>
        <w:rPr>
          <w:rFonts w:hint="eastAsia" w:asciiTheme="minorEastAsia" w:hAnsiTheme="minorEastAsia" w:eastAsiaTheme="minorEastAsia" w:cstheme="minorEastAsia"/>
          <w:b/>
          <w:szCs w:val="24"/>
        </w:rPr>
        <w:t>6.3 泄漏与渗漏的评估与管理</w:t>
      </w:r>
      <w:bookmarkEnd w:id="51"/>
    </w:p>
    <w:p w14:paraId="745298F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6.3.1管理部</w:t>
      </w:r>
      <w:r>
        <w:rPr>
          <w:rFonts w:hint="eastAsia" w:asciiTheme="minorEastAsia" w:hAnsiTheme="minorEastAsia" w:eastAsiaTheme="minorEastAsia" w:cstheme="minorEastAsia"/>
          <w:sz w:val="24"/>
          <w:highlight w:val="none"/>
        </w:rPr>
        <w:t>根据《危险源识别和风险评价管理程序》</w:t>
      </w:r>
      <w:r>
        <w:rPr>
          <w:rFonts w:hint="eastAsia" w:asciiTheme="minorEastAsia" w:hAnsiTheme="minorEastAsia" w:eastAsiaTheme="minorEastAsia" w:cstheme="minorEastAsia"/>
          <w:sz w:val="24"/>
          <w:highlight w:val="none"/>
          <w:lang w:val="en-US" w:eastAsia="zh-CN"/>
        </w:rPr>
        <w:t>和</w:t>
      </w:r>
      <w:r>
        <w:rPr>
          <w:rFonts w:hint="eastAsia" w:asciiTheme="minorEastAsia" w:hAnsiTheme="minorEastAsia" w:eastAsiaTheme="minorEastAsia" w:cstheme="minorEastAsia"/>
          <w:color w:val="auto"/>
          <w:sz w:val="24"/>
        </w:rPr>
        <w:t>《环境因素识别与评价控制程序》</w:t>
      </w:r>
      <w:r>
        <w:rPr>
          <w:rFonts w:hint="eastAsia" w:asciiTheme="minorEastAsia" w:hAnsiTheme="minorEastAsia" w:eastAsiaTheme="minorEastAsia" w:cstheme="minorEastAsia"/>
          <w:color w:val="auto"/>
          <w:sz w:val="24"/>
          <w:highlight w:val="none"/>
        </w:rPr>
        <w:t>的要求对公司作业</w:t>
      </w:r>
      <w:r>
        <w:rPr>
          <w:rFonts w:hint="eastAsia" w:asciiTheme="minorEastAsia" w:hAnsiTheme="minorEastAsia" w:eastAsiaTheme="minorEastAsia" w:cstheme="minorEastAsia"/>
          <w:color w:val="auto"/>
          <w:sz w:val="24"/>
        </w:rPr>
        <w:t>中可能发证的泄漏和渗漏进行了风险识别</w:t>
      </w:r>
      <w:r>
        <w:rPr>
          <w:rFonts w:hint="eastAsia" w:asciiTheme="minorEastAsia" w:hAnsiTheme="minorEastAsia" w:eastAsiaTheme="minorEastAsia" w:cstheme="minorEastAsia"/>
          <w:sz w:val="24"/>
        </w:rPr>
        <w:t>，对其作业中可能发生泄漏和渗漏时污染空气、水和/或土地的主要风险领域进行评估，并制定了相应的控制措施。</w:t>
      </w:r>
    </w:p>
    <w:p w14:paraId="5D87B98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6.3.2实施管理计划(包括合规控制和监测计划) ，以防止、检测和补救泄漏和漏泄。</w:t>
      </w:r>
    </w:p>
    <w:p w14:paraId="1FC46D58">
      <w:pPr>
        <w:spacing w:line="360" w:lineRule="auto"/>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rPr>
        <w:t>6.3.3管理部负责对公司相关员工和承包商进行定期/不定期培训，告知其风险和预防措施。</w:t>
      </w:r>
    </w:p>
    <w:p w14:paraId="4DA38270">
      <w:pPr>
        <w:spacing w:line="360" w:lineRule="auto"/>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6.3.4管理部负责识别利益相关方，召集主要利益相关方一起制定</w:t>
      </w:r>
      <w:commentRangeStart w:id="3"/>
      <w:r>
        <w:rPr>
          <w:rFonts w:hint="eastAsia" w:asciiTheme="minorEastAsia" w:hAnsiTheme="minorEastAsia" w:eastAsiaTheme="minorEastAsia" w:cstheme="minorEastAsia"/>
          <w:sz w:val="24"/>
          <w:highlight w:val="none"/>
        </w:rPr>
        <w:t>《利益相关方沟通一览表》</w:t>
      </w:r>
      <w:commentRangeEnd w:id="3"/>
      <w:r>
        <w:rPr>
          <w:highlight w:val="none"/>
        </w:rPr>
        <w:commentReference w:id="3"/>
      </w:r>
      <w:r>
        <w:rPr>
          <w:rFonts w:hint="eastAsia" w:asciiTheme="minorEastAsia" w:hAnsiTheme="minorEastAsia" w:eastAsiaTheme="minorEastAsia" w:cstheme="minorEastAsia"/>
          <w:sz w:val="24"/>
          <w:highlight w:val="none"/>
        </w:rPr>
        <w:t>。如果发生泄漏事故，管理部进行报告。</w:t>
      </w:r>
    </w:p>
    <w:p w14:paraId="42F5F87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6.3.5在企业发生任何变动，导致泄漏和渗漏的主要风险发生变化时，对计划进行审查。至少每五年对管理计划进行复审。</w:t>
      </w:r>
    </w:p>
    <w:p w14:paraId="0CC31516">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6.3.6在发生泄漏和渗漏后对计划进行审查。在出现控制缺陷迹象时，要对计划进行审查。</w:t>
      </w:r>
    </w:p>
    <w:p w14:paraId="419FA37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6.3.7公开披露最新版本的管理计划。</w:t>
      </w:r>
    </w:p>
    <w:p w14:paraId="14CFE8B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74827A85">
      <w:pPr>
        <w:spacing w:line="360" w:lineRule="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《环境因素识别与评价控制程序》</w:t>
      </w:r>
    </w:p>
    <w:p w14:paraId="2237D90D">
      <w:pPr>
        <w:spacing w:line="360" w:lineRule="auto"/>
        <w:rPr>
          <w:rFonts w:hint="eastAsia" w:asciiTheme="minorEastAsia" w:hAnsiTheme="minorEastAsia" w:eastAsiaTheme="minorEastAsia" w:cstheme="minorEastAsia"/>
          <w:color w:val="0000FF"/>
          <w:sz w:val="24"/>
        </w:rPr>
      </w:pPr>
      <w:r>
        <w:rPr>
          <w:rFonts w:hint="eastAsia" w:asciiTheme="minorEastAsia" w:hAnsiTheme="minorEastAsia" w:eastAsiaTheme="minorEastAsia" w:cstheme="minorEastAsia"/>
          <w:sz w:val="24"/>
          <w:highlight w:val="none"/>
        </w:rPr>
        <w:t>《危险源识别和风险评价管理程序》</w:t>
      </w:r>
    </w:p>
    <w:p w14:paraId="57F86A84">
      <w:pPr>
        <w:pStyle w:val="2"/>
        <w:spacing w:line="360" w:lineRule="auto"/>
        <w:rPr>
          <w:rFonts w:hint="eastAsia" w:asciiTheme="minorEastAsia" w:hAnsiTheme="minorEastAsia" w:eastAsiaTheme="minorEastAsia" w:cstheme="minorEastAsia"/>
          <w:b/>
          <w:szCs w:val="24"/>
        </w:rPr>
      </w:pPr>
      <w:bookmarkStart w:id="52" w:name="_Toc14330"/>
      <w:r>
        <w:rPr>
          <w:rFonts w:hint="eastAsia" w:asciiTheme="minorEastAsia" w:hAnsiTheme="minorEastAsia" w:eastAsiaTheme="minorEastAsia" w:cstheme="minorEastAsia"/>
          <w:b/>
          <w:szCs w:val="24"/>
        </w:rPr>
        <w:t>6.4公开披露泄漏和渗漏。</w:t>
      </w:r>
      <w:bookmarkEnd w:id="52"/>
    </w:p>
    <w:p w14:paraId="5B55DEA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6.4.1在泄漏和渗漏事故发生后立即向受影响人群和组织披露实质性泄漏和渗漏的数量、类型和潜在影响。</w:t>
      </w:r>
    </w:p>
    <w:p w14:paraId="1CF7A664">
      <w:pPr>
        <w:spacing w:line="360" w:lineRule="auto"/>
        <w:rPr>
          <w:rFonts w:eastAsiaTheme="minorEastAsia"/>
          <w:b/>
          <w:szCs w:val="24"/>
        </w:rPr>
      </w:pPr>
      <w:r>
        <w:rPr>
          <w:rFonts w:hint="eastAsia" w:asciiTheme="minorEastAsia" w:hAnsiTheme="minorEastAsia" w:eastAsiaTheme="minorEastAsia" w:cstheme="minorEastAsia"/>
          <w:sz w:val="24"/>
        </w:rPr>
        <w:t>6.4.2每年公开披露泄漏和渗漏的影响评估、根本原因以及采取的补救措施。</w:t>
      </w:r>
    </w:p>
    <w:p w14:paraId="748ACB0E">
      <w:pPr>
        <w:pStyle w:val="2"/>
        <w:spacing w:line="360" w:lineRule="auto"/>
        <w:rPr>
          <w:rFonts w:hint="eastAsia" w:asciiTheme="minorEastAsia" w:hAnsiTheme="minorEastAsia" w:eastAsiaTheme="minorEastAsia" w:cstheme="minorEastAsia"/>
          <w:b/>
          <w:szCs w:val="24"/>
        </w:rPr>
      </w:pPr>
      <w:bookmarkStart w:id="53" w:name="_Toc29733"/>
      <w:r>
        <w:rPr>
          <w:rFonts w:hint="eastAsia" w:asciiTheme="minorEastAsia" w:hAnsiTheme="minorEastAsia" w:eastAsiaTheme="minorEastAsia" w:cstheme="minorEastAsia"/>
          <w:b/>
          <w:szCs w:val="24"/>
        </w:rPr>
        <w:t>6.5废物的管理和报告</w:t>
      </w:r>
      <w:bookmarkEnd w:id="53"/>
    </w:p>
    <w:p w14:paraId="10CB867C">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公司按照环境管理体系要求对废料进行分类管理。废料相关的数量信息和处理手段包含在《可持续发展报告》中。</w:t>
      </w:r>
    </w:p>
    <w:p w14:paraId="575CDF6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6.5.1</w:t>
      </w:r>
      <w:r>
        <w:rPr>
          <w:rFonts w:hint="eastAsia" w:asciiTheme="minorEastAsia" w:hAnsiTheme="minorEastAsia" w:eastAsiaTheme="minorEastAsia" w:cstheme="minorEastAsia"/>
          <w:sz w:val="24"/>
        </w:rPr>
        <w:t>每年量化并公开披露该实体从其活动中产生的危险和非危险废物（一般废物）的数量，并在可能的情况下，量化并公开披露其影响范围内产生的危险和非危险废物的数量以及相关的废物处置方法。</w:t>
      </w:r>
    </w:p>
    <w:p w14:paraId="20F25179">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6.5.2</w:t>
      </w:r>
      <w:r>
        <w:rPr>
          <w:rFonts w:hint="eastAsia" w:asciiTheme="minorEastAsia" w:hAnsiTheme="minorEastAsia" w:eastAsiaTheme="minorEastAsia" w:cstheme="minorEastAsia"/>
          <w:sz w:val="24"/>
        </w:rPr>
        <w:t>评估(a)项所述废物对人类福祉及环境的实质影响。</w:t>
      </w:r>
    </w:p>
    <w:p w14:paraId="091B7F7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6.5.3</w:t>
      </w:r>
      <w:r>
        <w:rPr>
          <w:rFonts w:hint="eastAsia" w:asciiTheme="minorEastAsia" w:hAnsiTheme="minorEastAsia" w:eastAsiaTheme="minorEastAsia" w:cstheme="minorEastAsia"/>
          <w:sz w:val="24"/>
        </w:rPr>
        <w:t>实施根据废物减缓层级设计的废物管理战略。</w:t>
      </w:r>
    </w:p>
    <w:p w14:paraId="1BA69AA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4AEB726E">
      <w:pPr>
        <w:spacing w:line="360" w:lineRule="auto"/>
        <w:rPr>
          <w:rFonts w:hint="eastAsia" w:eastAsiaTheme="minorEastAsia"/>
          <w:sz w:val="24"/>
        </w:rPr>
      </w:pPr>
      <w:r>
        <w:rPr>
          <w:rFonts w:hint="eastAsia" w:asciiTheme="minorEastAsia" w:hAnsiTheme="minorEastAsia" w:eastAsiaTheme="minorEastAsia" w:cstheme="minorEastAsia"/>
          <w:sz w:val="24"/>
        </w:rPr>
        <w:t>《可持续发展报告》</w:t>
      </w:r>
    </w:p>
    <w:p w14:paraId="08D9AC4B">
      <w:pPr>
        <w:pStyle w:val="2"/>
        <w:spacing w:line="360" w:lineRule="auto"/>
        <w:rPr>
          <w:rFonts w:hint="eastAsia" w:asciiTheme="minorEastAsia" w:hAnsiTheme="minorEastAsia" w:eastAsiaTheme="minorEastAsia" w:cstheme="minorEastAsia"/>
          <w:b/>
          <w:szCs w:val="24"/>
        </w:rPr>
      </w:pPr>
      <w:bookmarkStart w:id="54" w:name="_Toc31217"/>
      <w:r>
        <w:rPr>
          <w:rFonts w:hint="eastAsia" w:asciiTheme="minorEastAsia" w:hAnsiTheme="minorEastAsia" w:eastAsiaTheme="minorEastAsia" w:cstheme="minorEastAsia"/>
          <w:b/>
          <w:szCs w:val="24"/>
        </w:rPr>
        <w:t>6.6铝土矿赤泥</w:t>
      </w:r>
      <w:bookmarkEnd w:id="54"/>
    </w:p>
    <w:p w14:paraId="10794641">
      <w:pPr>
        <w:spacing w:line="360" w:lineRule="auto"/>
        <w:rPr>
          <w:rFonts w:eastAsiaTheme="minorEastAsia"/>
          <w:sz w:val="24"/>
        </w:rPr>
      </w:pPr>
      <w:r>
        <w:rPr>
          <w:rFonts w:eastAsiaTheme="minorEastAsia"/>
          <w:sz w:val="24"/>
        </w:rPr>
        <w:t>本公司为材料生产企业，本条不适用。</w:t>
      </w:r>
    </w:p>
    <w:p w14:paraId="2B729418">
      <w:pPr>
        <w:pStyle w:val="2"/>
        <w:spacing w:line="360" w:lineRule="auto"/>
        <w:rPr>
          <w:rFonts w:hint="eastAsia" w:asciiTheme="minorEastAsia" w:hAnsiTheme="minorEastAsia" w:eastAsiaTheme="minorEastAsia" w:cstheme="minorEastAsia"/>
          <w:b/>
          <w:szCs w:val="24"/>
        </w:rPr>
      </w:pPr>
      <w:bookmarkStart w:id="55" w:name="_Toc13714"/>
      <w:r>
        <w:rPr>
          <w:rFonts w:hint="eastAsia" w:asciiTheme="minorEastAsia" w:hAnsiTheme="minorEastAsia" w:eastAsiaTheme="minorEastAsia" w:cstheme="minorEastAsia"/>
          <w:b/>
          <w:szCs w:val="24"/>
        </w:rPr>
        <w:t>6.</w:t>
      </w:r>
      <w:r>
        <w:rPr>
          <w:rFonts w:hint="eastAsia" w:asciiTheme="minorEastAsia" w:hAnsiTheme="minorEastAsia" w:eastAsiaTheme="minorEastAsia" w:cstheme="minorEastAsia"/>
          <w:b/>
          <w:szCs w:val="24"/>
          <w:lang w:val="en-US" w:eastAsia="zh-CN"/>
        </w:rPr>
        <w:t>7</w:t>
      </w:r>
      <w:r>
        <w:rPr>
          <w:rFonts w:hint="eastAsia" w:asciiTheme="minorEastAsia" w:hAnsiTheme="minorEastAsia" w:eastAsiaTheme="minorEastAsia" w:cstheme="minorEastAsia"/>
          <w:b/>
          <w:szCs w:val="24"/>
        </w:rPr>
        <w:t xml:space="preserve"> 电解槽大修渣</w:t>
      </w:r>
      <w:bookmarkEnd w:id="55"/>
    </w:p>
    <w:p w14:paraId="1788D5BA">
      <w:pPr>
        <w:spacing w:line="360" w:lineRule="auto"/>
        <w:rPr>
          <w:rFonts w:eastAsiaTheme="minorEastAsia"/>
          <w:sz w:val="24"/>
        </w:rPr>
      </w:pPr>
      <w:r>
        <w:rPr>
          <w:rFonts w:eastAsiaTheme="minorEastAsia"/>
          <w:sz w:val="24"/>
        </w:rPr>
        <w:t>本公司为材料生产企业，本条不适用。</w:t>
      </w:r>
    </w:p>
    <w:p w14:paraId="709273D6">
      <w:pPr>
        <w:pStyle w:val="2"/>
        <w:spacing w:line="360" w:lineRule="auto"/>
        <w:rPr>
          <w:rFonts w:hint="eastAsia" w:asciiTheme="minorEastAsia" w:hAnsiTheme="minorEastAsia" w:eastAsiaTheme="minorEastAsia" w:cstheme="minorEastAsia"/>
          <w:b/>
          <w:szCs w:val="24"/>
        </w:rPr>
      </w:pPr>
      <w:bookmarkStart w:id="56" w:name="_Toc26575"/>
      <w:r>
        <w:rPr>
          <w:rFonts w:hint="eastAsia" w:asciiTheme="minorEastAsia" w:hAnsiTheme="minorEastAsia" w:eastAsiaTheme="minorEastAsia" w:cstheme="minorEastAsia"/>
          <w:b/>
          <w:szCs w:val="24"/>
        </w:rPr>
        <w:t>6.</w:t>
      </w:r>
      <w:r>
        <w:rPr>
          <w:rFonts w:hint="eastAsia" w:asciiTheme="minorEastAsia" w:hAnsiTheme="minorEastAsia" w:eastAsiaTheme="minorEastAsia" w:cstheme="minorEastAsia"/>
          <w:b/>
          <w:szCs w:val="24"/>
          <w:lang w:val="en-US" w:eastAsia="zh-CN"/>
        </w:rPr>
        <w:t>8</w:t>
      </w:r>
      <w:r>
        <w:rPr>
          <w:rFonts w:hint="eastAsia" w:asciiTheme="minorEastAsia" w:hAnsiTheme="minorEastAsia" w:eastAsiaTheme="minorEastAsia" w:cstheme="minorEastAsia"/>
          <w:b/>
          <w:szCs w:val="24"/>
        </w:rPr>
        <w:t xml:space="preserve"> 铝灰渣</w:t>
      </w:r>
      <w:bookmarkEnd w:id="56"/>
    </w:p>
    <w:p w14:paraId="3D72B9DA">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公司建立了铝渣和残渣处理、存放、外卖形式，由</w:t>
      </w:r>
      <w:r>
        <w:rPr>
          <w:rFonts w:hint="eastAsia" w:asciiTheme="minorEastAsia" w:hAnsiTheme="minorEastAsia" w:eastAsiaTheme="minorEastAsia" w:cstheme="minorEastAsia"/>
          <w:sz w:val="24"/>
          <w:lang w:val="en-US" w:eastAsia="zh-CN"/>
        </w:rPr>
        <w:t>经营部</w:t>
      </w:r>
      <w:r>
        <w:rPr>
          <w:rFonts w:hint="eastAsia" w:asciiTheme="minorEastAsia" w:hAnsiTheme="minorEastAsia" w:eastAsiaTheme="minorEastAsia" w:cstheme="minorEastAsia"/>
          <w:sz w:val="24"/>
        </w:rPr>
        <w:t>寻找有资质的单位处置，公司不再回收利用。管理部对各部门产生的铝渣处置情况进行监督检查，对已外卖的铝渣数量及种类进行存档。</w:t>
      </w:r>
    </w:p>
    <w:p w14:paraId="67E4DCF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6.8.1</w:t>
      </w:r>
      <w:r>
        <w:rPr>
          <w:rFonts w:hint="eastAsia" w:asciiTheme="minorEastAsia" w:hAnsiTheme="minorEastAsia" w:eastAsiaTheme="minorEastAsia" w:cstheme="minorEastAsia"/>
          <w:sz w:val="24"/>
        </w:rPr>
        <w:t>堆存和管理铝灰渣，防止铝灰渣和渗滤液向环境释放。</w:t>
      </w:r>
    </w:p>
    <w:p w14:paraId="51FE59C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6.8.2</w:t>
      </w:r>
      <w:r>
        <w:rPr>
          <w:rFonts w:hint="eastAsia" w:asciiTheme="minorEastAsia" w:hAnsiTheme="minorEastAsia" w:eastAsiaTheme="minorEastAsia" w:cstheme="minorEastAsia"/>
          <w:sz w:val="24"/>
        </w:rPr>
        <w:t>通过铝灰渣和残渣（盐渣和二次铝灰）处理，最大限度地回收铝。</w:t>
      </w:r>
    </w:p>
    <w:p w14:paraId="25C81EC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6.8.3</w:t>
      </w:r>
      <w:r>
        <w:rPr>
          <w:rFonts w:hint="eastAsia" w:asciiTheme="minorEastAsia" w:hAnsiTheme="minorEastAsia" w:eastAsiaTheme="minorEastAsia" w:cstheme="minorEastAsia"/>
          <w:sz w:val="24"/>
        </w:rPr>
        <w:t>最大限度地回收利用处理后的铝残渣。</w:t>
      </w:r>
    </w:p>
    <w:p w14:paraId="7453137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6.8.4</w:t>
      </w:r>
      <w:r>
        <w:rPr>
          <w:rFonts w:hint="eastAsia" w:asciiTheme="minorEastAsia" w:hAnsiTheme="minorEastAsia" w:eastAsiaTheme="minorEastAsia" w:cstheme="minorEastAsia"/>
          <w:sz w:val="24"/>
        </w:rPr>
        <w:t>每年至少审查一次铝残渣填埋的备选方案。</w:t>
      </w:r>
    </w:p>
    <w:p w14:paraId="545AAE13">
      <w:pPr>
        <w:spacing w:line="360" w:lineRule="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本条支持文件：</w:t>
      </w:r>
    </w:p>
    <w:p w14:paraId="334E9057">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w:t>
      </w:r>
      <w:r>
        <w:rPr>
          <w:rFonts w:hint="eastAsia" w:asciiTheme="minorEastAsia" w:hAnsiTheme="minorEastAsia" w:eastAsiaTheme="minorEastAsia" w:cstheme="minorEastAsia"/>
          <w:color w:val="auto"/>
          <w:sz w:val="24"/>
          <w:highlight w:val="none"/>
          <w:lang w:val="en-US" w:eastAsia="zh-CN"/>
        </w:rPr>
        <w:t>危险废物污染防治责任制度</w:t>
      </w:r>
      <w:r>
        <w:rPr>
          <w:rFonts w:hint="eastAsia" w:asciiTheme="minorEastAsia" w:hAnsiTheme="minorEastAsia" w:eastAsiaTheme="minorEastAsia" w:cstheme="minorEastAsia"/>
          <w:color w:val="auto"/>
          <w:sz w:val="24"/>
          <w:highlight w:val="none"/>
        </w:rPr>
        <w:t>》</w:t>
      </w:r>
    </w:p>
    <w:p w14:paraId="2322D0B3">
      <w:pPr>
        <w:spacing w:line="360" w:lineRule="auto"/>
        <w:rPr>
          <w:rFonts w:hint="eastAsia" w:asciiTheme="minorEastAsia" w:hAnsiTheme="minorEastAsia" w:eastAsiaTheme="minorEastAsia" w:cstheme="minorEastAsia"/>
          <w:color w:val="auto"/>
          <w:sz w:val="24"/>
          <w:highlight w:val="none"/>
          <w:lang w:eastAsia="zh-CN"/>
        </w:rPr>
      </w:pPr>
      <w:commentRangeStart w:id="4"/>
      <w:r>
        <w:rPr>
          <w:rFonts w:hint="eastAsia" w:asciiTheme="minorEastAsia" w:hAnsiTheme="minorEastAsia" w:eastAsiaTheme="minorEastAsia" w:cstheme="minorEastAsia"/>
          <w:color w:val="auto"/>
          <w:sz w:val="24"/>
          <w:highlight w:val="none"/>
          <w:lang w:eastAsia="zh-CN"/>
        </w:rPr>
        <w:t>《</w:t>
      </w:r>
      <w:r>
        <w:rPr>
          <w:rFonts w:hint="eastAsia" w:asciiTheme="minorEastAsia" w:hAnsiTheme="minorEastAsia" w:eastAsiaTheme="minorEastAsia" w:cstheme="minorEastAsia"/>
          <w:color w:val="auto"/>
          <w:sz w:val="24"/>
          <w:highlight w:val="none"/>
          <w:lang w:val="en-US" w:eastAsia="zh-CN"/>
        </w:rPr>
        <w:t>冷灰桶操作作业指导书</w:t>
      </w:r>
      <w:r>
        <w:rPr>
          <w:rFonts w:hint="eastAsia" w:asciiTheme="minorEastAsia" w:hAnsiTheme="minorEastAsia" w:eastAsiaTheme="minorEastAsia" w:cstheme="minorEastAsia"/>
          <w:color w:val="auto"/>
          <w:sz w:val="24"/>
          <w:highlight w:val="none"/>
          <w:lang w:eastAsia="zh-CN"/>
        </w:rPr>
        <w:t>》</w:t>
      </w:r>
    </w:p>
    <w:commentRangeEnd w:id="4"/>
    <w:p w14:paraId="2DD2896E">
      <w:pPr>
        <w:spacing w:line="360" w:lineRule="auto"/>
        <w:rPr>
          <w:rFonts w:hint="eastAsia" w:asciiTheme="minorEastAsia" w:hAnsiTheme="minorEastAsia" w:eastAsiaTheme="minorEastAsia" w:cstheme="minorEastAsia"/>
          <w:color w:val="auto"/>
          <w:sz w:val="24"/>
          <w:highlight w:val="none"/>
          <w:lang w:eastAsia="zh-CN"/>
        </w:rPr>
      </w:pPr>
      <w:r>
        <w:rPr>
          <w:highlight w:val="none"/>
        </w:rPr>
        <w:commentReference w:id="4"/>
      </w:r>
      <w:r>
        <w:rPr>
          <w:rFonts w:hint="eastAsia" w:asciiTheme="minorEastAsia" w:hAnsiTheme="minorEastAsia" w:eastAsiaTheme="minorEastAsia" w:cstheme="minorEastAsia"/>
          <w:color w:val="auto"/>
          <w:sz w:val="24"/>
          <w:highlight w:val="none"/>
          <w:lang w:eastAsia="zh-CN"/>
        </w:rPr>
        <w:t>《（立式）裘灰作业指导书》</w:t>
      </w:r>
    </w:p>
    <w:p w14:paraId="1E499860">
      <w:pPr>
        <w:spacing w:line="360" w:lineRule="auto"/>
        <w:rPr>
          <w:rFonts w:eastAsiaTheme="minorEastAsia"/>
          <w:sz w:val="24"/>
        </w:rPr>
      </w:pPr>
      <w:r>
        <w:rPr>
          <w:rFonts w:eastAsiaTheme="minorEastAsia"/>
          <w:sz w:val="24"/>
        </w:rPr>
        <w:br w:type="page"/>
      </w:r>
    </w:p>
    <w:p w14:paraId="08674BA8">
      <w:pPr>
        <w:pStyle w:val="25"/>
        <w:spacing w:before="0" w:after="0" w:line="360" w:lineRule="auto"/>
        <w:rPr>
          <w:rFonts w:hint="eastAsia" w:ascii="微软雅黑" w:hAnsi="微软雅黑" w:eastAsia="微软雅黑" w:cs="微软雅黑"/>
          <w:sz w:val="30"/>
          <w:szCs w:val="30"/>
        </w:rPr>
      </w:pPr>
      <w:bookmarkStart w:id="57" w:name="_Toc32041"/>
      <w:r>
        <w:rPr>
          <w:rFonts w:hint="eastAsia" w:ascii="微软雅黑" w:hAnsi="微软雅黑" w:eastAsia="微软雅黑" w:cs="微软雅黑"/>
          <w:sz w:val="30"/>
          <w:szCs w:val="30"/>
        </w:rPr>
        <w:t>7水资源管理</w:t>
      </w:r>
      <w:bookmarkEnd w:id="57"/>
    </w:p>
    <w:p w14:paraId="7DCE2905">
      <w:pPr>
        <w:spacing w:line="360" w:lineRule="auto"/>
        <w:rPr>
          <w:rFonts w:eastAsiaTheme="minorEastAsia"/>
          <w:sz w:val="24"/>
        </w:rPr>
      </w:pPr>
      <w:r>
        <w:rPr>
          <w:rFonts w:eastAsiaTheme="minorEastAsia"/>
          <w:sz w:val="24"/>
        </w:rPr>
        <w:t>原则：实体应负责任的抽取、利用和管理水，以支持对水资源的管理。</w:t>
      </w:r>
    </w:p>
    <w:p w14:paraId="0ADACC23">
      <w:pPr>
        <w:pStyle w:val="2"/>
        <w:spacing w:line="360" w:lineRule="auto"/>
        <w:rPr>
          <w:rFonts w:hint="eastAsia" w:asciiTheme="minorEastAsia" w:hAnsiTheme="minorEastAsia" w:eastAsiaTheme="minorEastAsia" w:cstheme="minorEastAsia"/>
          <w:b/>
          <w:szCs w:val="24"/>
          <w:highlight w:val="none"/>
        </w:rPr>
      </w:pPr>
      <w:bookmarkStart w:id="58" w:name="_Toc26268"/>
      <w:r>
        <w:rPr>
          <w:rFonts w:hint="eastAsia" w:asciiTheme="minorEastAsia" w:hAnsiTheme="minorEastAsia" w:eastAsiaTheme="minorEastAsia" w:cstheme="minorEastAsia"/>
          <w:b/>
          <w:szCs w:val="24"/>
          <w:highlight w:val="none"/>
        </w:rPr>
        <w:t>7.1水的评估</w:t>
      </w:r>
      <w:bookmarkEnd w:id="58"/>
    </w:p>
    <w:p w14:paraId="29D1040C">
      <w:pPr>
        <w:spacing w:line="360" w:lineRule="auto"/>
        <w:ind w:firstLine="480" w:firstLineChars="200"/>
        <w:rPr>
          <w:rFonts w:hint="eastAsia" w:asciiTheme="minorEastAsia" w:hAnsiTheme="minorEastAsia" w:eastAsiaTheme="minorEastAsia" w:cstheme="minorEastAsia"/>
          <w:sz w:val="24"/>
          <w:highlight w:val="none"/>
          <w:lang w:eastAsia="zh-CN"/>
        </w:rPr>
      </w:pPr>
      <w:r>
        <w:rPr>
          <w:rFonts w:hint="eastAsia" w:asciiTheme="minorEastAsia" w:hAnsiTheme="minorEastAsia" w:eastAsiaTheme="minorEastAsia" w:cstheme="minorEastAsia"/>
          <w:sz w:val="24"/>
          <w:highlight w:val="none"/>
        </w:rPr>
        <w:t>管理部每3年根据ISO14046环境管理的要求，为推动工业节水管理水平，根据相关法律法规及当地政府对水平衡测试的相关规定，在进行水资源风险的核查过程中：识别水的来源、水的排放点、名称、位置和数量（包括目的地或最终接受水体，分部门、分工序统计用水量，水源利用率，达标排放率等，形成《水平衡测试报告》</w:t>
      </w:r>
      <w:r>
        <w:rPr>
          <w:rFonts w:hint="eastAsia" w:asciiTheme="minorEastAsia" w:hAnsiTheme="minorEastAsia" w:eastAsiaTheme="minorEastAsia" w:cstheme="minorEastAsia"/>
          <w:sz w:val="24"/>
          <w:highlight w:val="none"/>
          <w:lang w:eastAsia="zh-CN"/>
        </w:rPr>
        <w:t>。</w:t>
      </w:r>
    </w:p>
    <w:p w14:paraId="003F6E8C">
      <w:pPr>
        <w:spacing w:line="360" w:lineRule="auto"/>
        <w:ind w:firstLine="480" w:firstLineChars="200"/>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公司按照环保要求委托三方对公司影响区流域与水相关的风险进行监测，最终形成《</w:t>
      </w:r>
      <w:r>
        <w:rPr>
          <w:rFonts w:hint="eastAsia" w:asciiTheme="minorEastAsia" w:hAnsiTheme="minorEastAsia" w:eastAsiaTheme="minorEastAsia" w:cstheme="minorEastAsia"/>
          <w:sz w:val="24"/>
          <w:highlight w:val="none"/>
          <w:lang w:val="en-US" w:eastAsia="zh-CN"/>
        </w:rPr>
        <w:t>地表水水质监测</w:t>
      </w:r>
      <w:r>
        <w:rPr>
          <w:rFonts w:hint="eastAsia" w:asciiTheme="minorEastAsia" w:hAnsiTheme="minorEastAsia" w:eastAsiaTheme="minorEastAsia" w:cstheme="minorEastAsia"/>
          <w:sz w:val="24"/>
          <w:highlight w:val="none"/>
        </w:rPr>
        <w:t>报告》</w:t>
      </w:r>
    </w:p>
    <w:p w14:paraId="4B4A6696">
      <w:pPr>
        <w:spacing w:line="360" w:lineRule="auto"/>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本条支持文件：</w:t>
      </w:r>
    </w:p>
    <w:p w14:paraId="5C08B347">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《环境影响评价技术导则（地面水环境）》 （</w:t>
      </w:r>
      <w:r>
        <w:rPr>
          <w:rFonts w:hint="default" w:ascii="Times New Roman" w:hAnsi="Times New Roman" w:eastAsia="宋体" w:cs="Times New Roman"/>
          <w:color w:val="000000"/>
          <w:kern w:val="0"/>
          <w:sz w:val="24"/>
          <w:szCs w:val="24"/>
          <w:highlight w:val="none"/>
          <w:lang w:val="en-US" w:eastAsia="zh-CN" w:bidi="ar"/>
        </w:rPr>
        <w:t>HJ/T2.3</w:t>
      </w:r>
      <w:r>
        <w:rPr>
          <w:rFonts w:hint="eastAsia" w:ascii="宋体" w:hAnsi="宋体" w:eastAsia="宋体" w:cs="宋体"/>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93</w:t>
      </w:r>
      <w:r>
        <w:rPr>
          <w:rFonts w:hint="eastAsia" w:ascii="宋体" w:hAnsi="宋体" w:eastAsia="宋体" w:cs="宋体"/>
          <w:color w:val="000000"/>
          <w:kern w:val="0"/>
          <w:sz w:val="24"/>
          <w:szCs w:val="24"/>
          <w:highlight w:val="none"/>
          <w:lang w:val="en-US" w:eastAsia="zh-CN" w:bidi="ar"/>
        </w:rPr>
        <w:t>）</w:t>
      </w:r>
    </w:p>
    <w:p w14:paraId="76C94E69">
      <w:pPr>
        <w:keepNext w:val="0"/>
        <w:keepLines w:val="0"/>
        <w:widowControl/>
        <w:suppressLineNumbers w:val="0"/>
        <w:jc w:val="left"/>
        <w:rPr>
          <w:rFonts w:ascii="宋体" w:hAnsi="宋体" w:eastAsia="宋体" w:cs="宋体"/>
          <w:sz w:val="24"/>
          <w:szCs w:val="24"/>
          <w:highlight w:val="none"/>
        </w:rPr>
      </w:pPr>
      <w:r>
        <w:rPr>
          <w:rFonts w:ascii="宋体" w:hAnsi="宋体" w:eastAsia="宋体" w:cs="宋体"/>
          <w:sz w:val="24"/>
          <w:szCs w:val="24"/>
          <w:highlight w:val="none"/>
        </w:rPr>
        <w:t>《中华人民共和国环境保护法》</w:t>
      </w:r>
    </w:p>
    <w:p w14:paraId="7213A14F">
      <w:pPr>
        <w:keepNext w:val="0"/>
        <w:keepLines w:val="0"/>
        <w:widowControl/>
        <w:suppressLineNumbers w:val="0"/>
        <w:jc w:val="left"/>
        <w:rPr>
          <w:rFonts w:hint="eastAsia" w:ascii="宋体" w:hAnsi="宋体" w:eastAsia="宋体" w:cs="宋体"/>
          <w:sz w:val="24"/>
          <w:szCs w:val="24"/>
          <w:highlight w:val="none"/>
          <w:lang w:val="en-US" w:eastAsia="zh-CN"/>
        </w:rPr>
      </w:pPr>
      <w:r>
        <w:rPr>
          <w:rFonts w:ascii="宋体" w:hAnsi="宋体" w:eastAsia="宋体" w:cs="宋体"/>
          <w:sz w:val="24"/>
          <w:szCs w:val="24"/>
          <w:highlight w:val="none"/>
        </w:rPr>
        <w:t>《中华人民共和国水污染防治法》</w:t>
      </w:r>
    </w:p>
    <w:p w14:paraId="036BEEC8">
      <w:pPr>
        <w:spacing w:line="360" w:lineRule="auto"/>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《中华人民共和国土壤污染防治法》</w:t>
      </w:r>
    </w:p>
    <w:p w14:paraId="720FFF61">
      <w:pPr>
        <w:pStyle w:val="2"/>
        <w:spacing w:line="360" w:lineRule="auto"/>
        <w:rPr>
          <w:rFonts w:hint="eastAsia" w:asciiTheme="minorEastAsia" w:hAnsiTheme="minorEastAsia" w:eastAsiaTheme="minorEastAsia" w:cstheme="minorEastAsia"/>
          <w:b/>
          <w:szCs w:val="24"/>
        </w:rPr>
      </w:pPr>
      <w:bookmarkStart w:id="59" w:name="_Toc25777"/>
      <w:r>
        <w:rPr>
          <w:rFonts w:hint="eastAsia" w:asciiTheme="minorEastAsia" w:hAnsiTheme="minorEastAsia" w:eastAsiaTheme="minorEastAsia" w:cstheme="minorEastAsia"/>
          <w:b/>
          <w:szCs w:val="24"/>
        </w:rPr>
        <w:t>7.2 水资源管理</w:t>
      </w:r>
      <w:bookmarkEnd w:id="59"/>
    </w:p>
    <w:p w14:paraId="2652BEB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管理</w:t>
      </w:r>
      <w:r>
        <w:rPr>
          <w:rFonts w:hint="eastAsia" w:asciiTheme="minorEastAsia" w:hAnsiTheme="minorEastAsia" w:eastAsiaTheme="minorEastAsia" w:cstheme="minorEastAsia"/>
          <w:sz w:val="24"/>
        </w:rPr>
        <w:t>部按ASI绩效标准7.1(b)评价风险较低，该准则不适用。</w:t>
      </w:r>
    </w:p>
    <w:p w14:paraId="67E850D5">
      <w:pPr>
        <w:spacing w:line="360" w:lineRule="auto"/>
        <w:rPr>
          <w:rFonts w:eastAsiaTheme="minorEastAsia"/>
          <w:sz w:val="24"/>
        </w:rPr>
      </w:pPr>
      <w:r>
        <w:rPr>
          <w:rFonts w:eastAsiaTheme="minorEastAsia"/>
          <w:sz w:val="24"/>
        </w:rPr>
        <w:br w:type="page"/>
      </w:r>
    </w:p>
    <w:p w14:paraId="5671F463">
      <w:pPr>
        <w:pStyle w:val="25"/>
        <w:spacing w:before="0" w:after="0" w:line="360" w:lineRule="auto"/>
        <w:rPr>
          <w:rFonts w:hint="eastAsia" w:ascii="微软雅黑" w:hAnsi="微软雅黑" w:eastAsia="微软雅黑" w:cs="微软雅黑"/>
          <w:sz w:val="30"/>
          <w:szCs w:val="30"/>
        </w:rPr>
      </w:pPr>
      <w:bookmarkStart w:id="60" w:name="_Toc22107"/>
      <w:r>
        <w:rPr>
          <w:rFonts w:hint="eastAsia" w:ascii="微软雅黑" w:hAnsi="微软雅黑" w:eastAsia="微软雅黑" w:cs="微软雅黑"/>
          <w:sz w:val="30"/>
          <w:szCs w:val="30"/>
        </w:rPr>
        <w:t>8生物多样性和生态系统服务</w:t>
      </w:r>
      <w:bookmarkEnd w:id="60"/>
    </w:p>
    <w:p w14:paraId="586E3624">
      <w:pPr>
        <w:spacing w:line="360" w:lineRule="auto"/>
        <w:rPr>
          <w:rFonts w:hint="eastAsia" w:eastAsiaTheme="minorEastAsia"/>
          <w:sz w:val="24"/>
        </w:rPr>
      </w:pPr>
      <w:r>
        <w:rPr>
          <w:rFonts w:eastAsiaTheme="minorEastAsia"/>
          <w:sz w:val="24"/>
        </w:rPr>
        <w:t>原则：实体应根据减缓层级顺序，管理对生物多样性的影响，以保护生态系统、居住地和物种。</w:t>
      </w:r>
    </w:p>
    <w:p w14:paraId="72ED0570">
      <w:pPr>
        <w:spacing w:line="360" w:lineRule="auto"/>
        <w:outlineLvl w:val="0"/>
        <w:rPr>
          <w:rFonts w:hint="eastAsia" w:asciiTheme="minorEastAsia" w:hAnsiTheme="minorEastAsia" w:eastAsiaTheme="minorEastAsia" w:cstheme="minorEastAsia"/>
          <w:b/>
          <w:sz w:val="28"/>
        </w:rPr>
      </w:pPr>
      <w:bookmarkStart w:id="61" w:name="_Toc11281"/>
      <w:r>
        <w:rPr>
          <w:rFonts w:hint="eastAsia" w:asciiTheme="minorEastAsia" w:hAnsiTheme="minorEastAsia" w:eastAsiaTheme="minorEastAsia" w:cstheme="minorEastAsia"/>
          <w:b/>
          <w:sz w:val="28"/>
        </w:rPr>
        <w:t>8.1 生物多样性和生态系统服务的风险及影响评估。</w:t>
      </w:r>
      <w:bookmarkEnd w:id="61"/>
    </w:p>
    <w:p w14:paraId="29F22A0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8.1.1管理部每年参照公司的《环境影响</w:t>
      </w:r>
      <w:r>
        <w:rPr>
          <w:rFonts w:hint="eastAsia" w:asciiTheme="minorEastAsia" w:hAnsiTheme="minorEastAsia" w:eastAsiaTheme="minorEastAsia" w:cstheme="minorEastAsia"/>
          <w:sz w:val="24"/>
          <w:lang w:val="en-US" w:eastAsia="zh-CN"/>
        </w:rPr>
        <w:t>报告书</w:t>
      </w:r>
      <w:r>
        <w:rPr>
          <w:rFonts w:hint="eastAsia" w:asciiTheme="minorEastAsia" w:hAnsiTheme="minorEastAsia" w:eastAsiaTheme="minorEastAsia" w:cstheme="minorEastAsia"/>
          <w:sz w:val="24"/>
        </w:rPr>
        <w:t>》开展风险评估，评估公司公司影响范围内的土地使用和活动对生物多样性和生态系统服务的风险和潜在影响。</w:t>
      </w:r>
    </w:p>
    <w:p w14:paraId="245D72E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8.1.2识别公司的活动或其影响对生物多样性的实质影响，形成《生物多样性风险评估</w:t>
      </w:r>
      <w:r>
        <w:rPr>
          <w:rFonts w:hint="eastAsia" w:asciiTheme="minorEastAsia" w:hAnsiTheme="minorEastAsia" w:eastAsiaTheme="minorEastAsia" w:cstheme="minorEastAsia"/>
          <w:sz w:val="24"/>
          <w:lang w:val="en-US" w:eastAsia="zh-CN"/>
        </w:rPr>
        <w:t>报告</w:t>
      </w:r>
      <w:r>
        <w:rPr>
          <w:rFonts w:hint="eastAsia" w:asciiTheme="minorEastAsia" w:hAnsiTheme="minorEastAsia" w:eastAsiaTheme="minorEastAsia" w:cstheme="minorEastAsia"/>
          <w:sz w:val="24"/>
        </w:rPr>
        <w:t>》。</w:t>
      </w:r>
    </w:p>
    <w:p w14:paraId="253C09AC">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8.1.3在实体可能对生态系统服务产生不利影响的情况下，征询受影响人群和组织意见并进行合作，进行系统性审查，确定可能受到影响的、与受影响人群和组织相关的优先生态系统服务。</w:t>
      </w:r>
    </w:p>
    <w:p w14:paraId="0B4BD81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8.1.4生物多样性评估网站：https://bia.hinature.cn/#/</w:t>
      </w:r>
    </w:p>
    <w:p w14:paraId="300D494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706948B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《生物多样性风险评估</w:t>
      </w:r>
      <w:r>
        <w:rPr>
          <w:rFonts w:hint="eastAsia" w:asciiTheme="minorEastAsia" w:hAnsiTheme="minorEastAsia" w:eastAsiaTheme="minorEastAsia" w:cstheme="minorEastAsia"/>
          <w:sz w:val="24"/>
          <w:lang w:val="en-US" w:eastAsia="zh-CN"/>
        </w:rPr>
        <w:t>报告</w:t>
      </w:r>
      <w:r>
        <w:rPr>
          <w:rFonts w:hint="eastAsia" w:asciiTheme="minorEastAsia" w:hAnsiTheme="minorEastAsia" w:eastAsiaTheme="minorEastAsia" w:cstheme="minorEastAsia"/>
          <w:sz w:val="24"/>
        </w:rPr>
        <w:t>》</w:t>
      </w:r>
    </w:p>
    <w:p w14:paraId="3D84A85F">
      <w:pPr>
        <w:spacing w:line="360" w:lineRule="auto"/>
        <w:rPr>
          <w:rFonts w:eastAsiaTheme="minorEastAsia"/>
          <w:sz w:val="24"/>
        </w:rPr>
      </w:pP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lang w:val="en-US" w:eastAsia="zh-CN"/>
        </w:rPr>
        <w:t>保护生物多样性管理规定</w:t>
      </w:r>
      <w:r>
        <w:rPr>
          <w:rFonts w:hint="eastAsia" w:asciiTheme="minorEastAsia" w:hAnsiTheme="minorEastAsia" w:eastAsiaTheme="minorEastAsia" w:cstheme="minorEastAsia"/>
          <w:sz w:val="24"/>
          <w:lang w:eastAsia="zh-CN"/>
        </w:rPr>
        <w:t>》</w:t>
      </w:r>
    </w:p>
    <w:p w14:paraId="1216A7C3">
      <w:pPr>
        <w:pStyle w:val="2"/>
        <w:spacing w:line="360" w:lineRule="auto"/>
        <w:rPr>
          <w:rFonts w:hint="eastAsia" w:asciiTheme="minorEastAsia" w:hAnsiTheme="minorEastAsia" w:eastAsiaTheme="minorEastAsia" w:cstheme="minorEastAsia"/>
          <w:b/>
          <w:szCs w:val="24"/>
        </w:rPr>
      </w:pPr>
      <w:bookmarkStart w:id="62" w:name="_Toc8063"/>
      <w:r>
        <w:rPr>
          <w:rFonts w:hint="eastAsia" w:asciiTheme="minorEastAsia" w:hAnsiTheme="minorEastAsia" w:eastAsiaTheme="minorEastAsia" w:cstheme="minorEastAsia"/>
          <w:b/>
          <w:szCs w:val="24"/>
        </w:rPr>
        <w:t>8.2 生物多样性的管理</w:t>
      </w:r>
      <w:bookmarkEnd w:id="62"/>
    </w:p>
    <w:p w14:paraId="7E4A047E">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管理部根据《生物多样性风险评估</w:t>
      </w:r>
      <w:r>
        <w:rPr>
          <w:rFonts w:hint="eastAsia" w:asciiTheme="minorEastAsia" w:hAnsiTheme="minorEastAsia" w:eastAsiaTheme="minorEastAsia" w:cstheme="minorEastAsia"/>
          <w:sz w:val="24"/>
          <w:lang w:val="en-US" w:eastAsia="zh-CN"/>
        </w:rPr>
        <w:t>报告</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color w:val="auto"/>
          <w:sz w:val="24"/>
        </w:rPr>
        <w:t>制定生物多样性管理行动计划，按</w:t>
      </w:r>
      <w:r>
        <w:rPr>
          <w:rFonts w:hint="eastAsia" w:asciiTheme="minorEastAsia" w:hAnsiTheme="minorEastAsia" w:eastAsiaTheme="minorEastAsia" w:cstheme="minorEastAsia"/>
          <w:sz w:val="24"/>
        </w:rPr>
        <w:t>照优先程度为不同等级的生物多样性的减缓采取措施，并通过公司年报和网站，定期分享生物多样性行动计划和成果披露。</w:t>
      </w:r>
    </w:p>
    <w:p w14:paraId="4F76278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8.2.1</w:t>
      </w:r>
      <w:r>
        <w:rPr>
          <w:rFonts w:hint="eastAsia" w:asciiTheme="minorEastAsia" w:hAnsiTheme="minorEastAsia" w:eastAsiaTheme="minorEastAsia" w:cstheme="minorEastAsia"/>
          <w:sz w:val="24"/>
        </w:rPr>
        <w:t>实施生物多样性行动计划，制定有时限的目标，以应对通过准则8.1确定的对生物多样性和生态系统服务的重要风险和影响，并监测其实效性。</w:t>
      </w:r>
    </w:p>
    <w:p w14:paraId="1A4CA9A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8.2.2</w:t>
      </w:r>
      <w:r>
        <w:rPr>
          <w:rFonts w:hint="eastAsia" w:asciiTheme="minorEastAsia" w:hAnsiTheme="minorEastAsia" w:eastAsiaTheme="minorEastAsia" w:cstheme="minorEastAsia"/>
          <w:sz w:val="24"/>
        </w:rPr>
        <w:t>确保生物多样性行动计划是由合格的专家按照生物多样性缓解层级结构设计，并力求实现无净损失。</w:t>
      </w:r>
    </w:p>
    <w:p w14:paraId="665BC27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8.2.3</w:t>
      </w:r>
      <w:r>
        <w:rPr>
          <w:rFonts w:hint="eastAsia" w:asciiTheme="minorEastAsia" w:hAnsiTheme="minorEastAsia" w:eastAsiaTheme="minorEastAsia" w:cstheme="minorEastAsia"/>
          <w:sz w:val="24"/>
        </w:rPr>
        <w:t>确保在制定生物多样性行动计划时征询受影响人群和组织的意见，并在可能的情况下让他们参与。</w:t>
      </w:r>
    </w:p>
    <w:p w14:paraId="694163D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8.2.4</w:t>
      </w:r>
      <w:r>
        <w:rPr>
          <w:rFonts w:hint="eastAsia" w:asciiTheme="minorEastAsia" w:hAnsiTheme="minorEastAsia" w:eastAsiaTheme="minorEastAsia" w:cstheme="minorEastAsia"/>
          <w:sz w:val="24"/>
        </w:rPr>
        <w:t>至少每五年对生物多样性行动计划和相关目标进行一次复审。</w:t>
      </w:r>
    </w:p>
    <w:p w14:paraId="7774C4A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8.2.5</w:t>
      </w:r>
      <w:r>
        <w:rPr>
          <w:rFonts w:hint="eastAsia" w:asciiTheme="minorEastAsia" w:hAnsiTheme="minorEastAsia" w:eastAsiaTheme="minorEastAsia" w:cstheme="minorEastAsia"/>
          <w:sz w:val="24"/>
        </w:rPr>
        <w:t>在企业有任何变动，并对生物多样性风险有所改变时，或评估显示风险有所改变时，对生物多样性行动计划和相关目标进行审查。</w:t>
      </w:r>
    </w:p>
    <w:p w14:paraId="55AA3CC6">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8.2.6</w:t>
      </w:r>
      <w:r>
        <w:rPr>
          <w:rFonts w:hint="eastAsia" w:asciiTheme="minorEastAsia" w:hAnsiTheme="minorEastAsia" w:eastAsiaTheme="minorEastAsia" w:cstheme="minorEastAsia"/>
          <w:sz w:val="24"/>
        </w:rPr>
        <w:t>在出现控制缺陷迹象时，要对生物多样性计划和相关目标进行审查。</w:t>
      </w:r>
    </w:p>
    <w:p w14:paraId="3EDFF5D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8.2.7</w:t>
      </w:r>
      <w:r>
        <w:rPr>
          <w:rFonts w:hint="eastAsia" w:asciiTheme="minorEastAsia" w:hAnsiTheme="minorEastAsia" w:eastAsiaTheme="minorEastAsia" w:cstheme="minorEastAsia"/>
          <w:sz w:val="24"/>
        </w:rPr>
        <w:t>公开披露生物多样性计划和相关目标，并向受影响人群和组织分享。</w:t>
      </w:r>
    </w:p>
    <w:p w14:paraId="6F67E6F9">
      <w:pPr>
        <w:pStyle w:val="2"/>
        <w:spacing w:line="360" w:lineRule="auto"/>
        <w:rPr>
          <w:rFonts w:hint="eastAsia" w:asciiTheme="minorEastAsia" w:hAnsiTheme="minorEastAsia" w:eastAsiaTheme="minorEastAsia" w:cstheme="minorEastAsia"/>
          <w:b/>
          <w:szCs w:val="24"/>
          <w:highlight w:val="none"/>
        </w:rPr>
      </w:pPr>
      <w:bookmarkStart w:id="63" w:name="_Toc18807"/>
      <w:r>
        <w:rPr>
          <w:rFonts w:hint="eastAsia" w:asciiTheme="minorEastAsia" w:hAnsiTheme="minorEastAsia" w:eastAsiaTheme="minorEastAsia" w:cstheme="minorEastAsia"/>
          <w:b/>
          <w:szCs w:val="24"/>
          <w:highlight w:val="none"/>
        </w:rPr>
        <w:t>8.3生态系统服务管理</w:t>
      </w:r>
      <w:bookmarkEnd w:id="63"/>
    </w:p>
    <w:p w14:paraId="01D1A182">
      <w:pPr>
        <w:numPr>
          <w:ilvl w:val="0"/>
          <w:numId w:val="0"/>
        </w:numPr>
        <w:spacing w:line="360" w:lineRule="auto"/>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val="en-US" w:eastAsia="zh-CN"/>
        </w:rPr>
        <w:t>8.3.1</w:t>
      </w:r>
      <w:r>
        <w:rPr>
          <w:rFonts w:hint="eastAsia" w:asciiTheme="minorEastAsia" w:hAnsiTheme="minorEastAsia" w:eastAsiaTheme="minorEastAsia" w:cstheme="minorEastAsia"/>
          <w:sz w:val="24"/>
        </w:rPr>
        <w:t>在实体依赖优先生态系统服务的情况下，实施提高运营资源效率的措施。如果通过标准8.1 确定了与受影响人群和组织相关的优先生态系统服务</w:t>
      </w:r>
      <w:r>
        <w:rPr>
          <w:rFonts w:hint="eastAsia" w:asciiTheme="minorEastAsia" w:hAnsiTheme="minorEastAsia" w:eastAsiaTheme="minorEastAsia" w:cstheme="minorEastAsia"/>
          <w:sz w:val="24"/>
          <w:lang w:eastAsia="zh-CN"/>
        </w:rPr>
        <w:t>。</w:t>
      </w:r>
    </w:p>
    <w:p w14:paraId="05AD8ADB">
      <w:pPr>
        <w:numPr>
          <w:ilvl w:val="0"/>
          <w:numId w:val="0"/>
        </w:num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8.3.2</w:t>
      </w:r>
      <w:r>
        <w:rPr>
          <w:rFonts w:hint="eastAsia" w:asciiTheme="minorEastAsia" w:hAnsiTheme="minorEastAsia" w:eastAsiaTheme="minorEastAsia" w:cstheme="minorEastAsia"/>
          <w:sz w:val="24"/>
        </w:rPr>
        <w:t>影响源在公司的直接管理控制之下：要利用生物多样性缓解层级来保持对此类生态系统服务的获取、价值和功能。</w:t>
      </w:r>
    </w:p>
    <w:p w14:paraId="65816232">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lang w:val="en-US" w:eastAsia="zh-CN"/>
        </w:rPr>
        <w:t>8.3.3</w:t>
      </w:r>
      <w:r>
        <w:rPr>
          <w:rFonts w:hint="eastAsia" w:asciiTheme="minorEastAsia" w:hAnsiTheme="minorEastAsia" w:eastAsiaTheme="minorEastAsia" w:cstheme="minorEastAsia"/>
          <w:sz w:val="24"/>
        </w:rPr>
        <w:t xml:space="preserve">影响源不受公司的直接管理控制：要与其他各方合作或在其影响范围内减缓对优先生态系统服务的影响。 </w:t>
      </w:r>
    </w:p>
    <w:p w14:paraId="0EB8A3C4">
      <w:pPr>
        <w:pStyle w:val="2"/>
        <w:spacing w:line="360" w:lineRule="auto"/>
        <w:rPr>
          <w:rFonts w:hint="eastAsia" w:asciiTheme="minorEastAsia" w:hAnsiTheme="minorEastAsia" w:eastAsiaTheme="minorEastAsia" w:cstheme="minorEastAsia"/>
          <w:b/>
          <w:szCs w:val="24"/>
        </w:rPr>
      </w:pPr>
      <w:bookmarkStart w:id="64" w:name="_Toc22780"/>
      <w:r>
        <w:rPr>
          <w:rFonts w:hint="eastAsia" w:asciiTheme="minorEastAsia" w:hAnsiTheme="minorEastAsia" w:eastAsiaTheme="minorEastAsia" w:cstheme="minorEastAsia"/>
          <w:b/>
          <w:szCs w:val="24"/>
        </w:rPr>
        <w:t>8.4外来物种</w:t>
      </w:r>
      <w:bookmarkEnd w:id="64"/>
    </w:p>
    <w:p w14:paraId="140F274C">
      <w:pPr>
        <w:spacing w:line="360" w:lineRule="auto"/>
        <w:ind w:firstLine="480" w:firstLineChars="200"/>
        <w:jc w:val="left"/>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rPr>
        <w:t>管理部识别公司可能会引入外来物种的运营活动，进行风险评估并实施控制。当公司在生产运营活动尤其是</w:t>
      </w:r>
      <w:bookmarkStart w:id="65" w:name="OLE_LINK1"/>
      <w:r>
        <w:rPr>
          <w:rFonts w:hint="eastAsia" w:asciiTheme="minorEastAsia" w:hAnsiTheme="minorEastAsia" w:eastAsiaTheme="minorEastAsia" w:cstheme="minorEastAsia"/>
          <w:sz w:val="24"/>
        </w:rPr>
        <w:t>在进口原材料和设备过程中，经营部应考虑引入外来物种的可能，必须进行环境影响评估并制订相应的防范措施，以证明该活动不会造成外来物种的引进，对当地生态系统和生物多样性造成负面影响，</w:t>
      </w:r>
      <w:bookmarkEnd w:id="65"/>
      <w:r>
        <w:rPr>
          <w:rFonts w:hint="eastAsia" w:asciiTheme="minorEastAsia" w:hAnsiTheme="minorEastAsia" w:eastAsiaTheme="minorEastAsia" w:cstheme="minorEastAsia"/>
          <w:sz w:val="24"/>
        </w:rPr>
        <w:t>在《生物多样性风险评估》形成外来物种环境影响评估结果。</w:t>
      </w:r>
      <w:r>
        <w:rPr>
          <w:rFonts w:hint="eastAsia" w:asciiTheme="minorEastAsia" w:hAnsiTheme="minorEastAsia" w:eastAsiaTheme="minorEastAsia" w:cstheme="minorEastAsia"/>
          <w:sz w:val="24"/>
          <w:lang w:val="en-US" w:eastAsia="zh-CN"/>
        </w:rPr>
        <w:t>年度通过</w:t>
      </w:r>
      <w:r>
        <w:rPr>
          <w:rFonts w:hint="eastAsia" w:asciiTheme="minorEastAsia" w:hAnsiTheme="minorEastAsia" w:eastAsiaTheme="minorEastAsia" w:cstheme="minorEastAsia"/>
          <w:sz w:val="24"/>
        </w:rPr>
        <w:t>http://www.especies.cn/</w:t>
      </w:r>
      <w:r>
        <w:rPr>
          <w:rFonts w:hint="eastAsia" w:asciiTheme="minorEastAsia" w:hAnsiTheme="minorEastAsia" w:eastAsiaTheme="minorEastAsia" w:cstheme="minorEastAsia"/>
          <w:sz w:val="24"/>
          <w:lang w:eastAsia="zh-CN"/>
        </w:rPr>
        <w:t>、https://www.iplant.cn/ias/</w:t>
      </w:r>
      <w:r>
        <w:rPr>
          <w:rFonts w:hint="eastAsia" w:asciiTheme="minorEastAsia" w:hAnsiTheme="minorEastAsia" w:eastAsiaTheme="minorEastAsia" w:cstheme="minorEastAsia"/>
          <w:sz w:val="24"/>
          <w:lang w:val="en-US" w:eastAsia="zh-CN"/>
        </w:rPr>
        <w:t>网站进行《中国物种名录》及《入侵物种名录》的查询。</w:t>
      </w:r>
    </w:p>
    <w:p w14:paraId="55F297D9">
      <w:pPr>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3AB676BB">
      <w:pPr>
        <w:spacing w:line="360" w:lineRule="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z w:val="24"/>
          <w:lang w:val="en-US" w:eastAsia="zh-CN"/>
        </w:rPr>
        <w:t>采购和供应商管理控制程序</w:t>
      </w:r>
      <w:r>
        <w:rPr>
          <w:rFonts w:hint="eastAsia" w:asciiTheme="minorEastAsia" w:hAnsiTheme="minorEastAsia" w:eastAsiaTheme="minorEastAsia" w:cstheme="minorEastAsia"/>
          <w:color w:val="auto"/>
          <w:sz w:val="24"/>
        </w:rPr>
        <w:t xml:space="preserve">》   </w:t>
      </w:r>
    </w:p>
    <w:p w14:paraId="78CF49A9">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《生物多样性风险评估</w:t>
      </w:r>
      <w:r>
        <w:rPr>
          <w:rFonts w:hint="eastAsia" w:asciiTheme="minorEastAsia" w:hAnsiTheme="minorEastAsia" w:eastAsiaTheme="minorEastAsia" w:cstheme="minorEastAsia"/>
          <w:sz w:val="24"/>
          <w:lang w:val="en-US" w:eastAsia="zh-CN"/>
        </w:rPr>
        <w:t>报告</w:t>
      </w:r>
      <w:r>
        <w:rPr>
          <w:rFonts w:hint="eastAsia" w:asciiTheme="minorEastAsia" w:hAnsiTheme="minorEastAsia" w:eastAsiaTheme="minorEastAsia" w:cstheme="minorEastAsia"/>
          <w:sz w:val="24"/>
        </w:rPr>
        <w:t>》</w:t>
      </w:r>
    </w:p>
    <w:p w14:paraId="113024AE">
      <w:pPr>
        <w:pStyle w:val="2"/>
        <w:spacing w:line="360" w:lineRule="auto"/>
        <w:rPr>
          <w:rFonts w:hint="eastAsia" w:asciiTheme="minorEastAsia" w:hAnsiTheme="minorEastAsia" w:eastAsiaTheme="minorEastAsia" w:cstheme="minorEastAsia"/>
          <w:b/>
          <w:szCs w:val="24"/>
        </w:rPr>
      </w:pPr>
      <w:bookmarkStart w:id="66" w:name="_Toc29586"/>
      <w:r>
        <w:rPr>
          <w:rFonts w:hint="eastAsia" w:asciiTheme="minorEastAsia" w:hAnsiTheme="minorEastAsia" w:eastAsiaTheme="minorEastAsia" w:cstheme="minorEastAsia"/>
          <w:b/>
          <w:szCs w:val="24"/>
        </w:rPr>
        <w:t>8.5 承诺“禁入”世界遗产地</w:t>
      </w:r>
      <w:bookmarkEnd w:id="66"/>
    </w:p>
    <w:p w14:paraId="4349CE68">
      <w:pPr>
        <w:pStyle w:val="2"/>
        <w:spacing w:line="360" w:lineRule="auto"/>
        <w:rPr>
          <w:rFonts w:hint="eastAsia" w:asciiTheme="minorEastAsia" w:hAnsiTheme="minorEastAsia" w:eastAsiaTheme="minorEastAsia" w:cstheme="minorEastAsia"/>
          <w:sz w:val="24"/>
          <w:szCs w:val="24"/>
        </w:rPr>
      </w:pPr>
      <w:bookmarkStart w:id="67" w:name="_Toc13324"/>
      <w:bookmarkStart w:id="68" w:name="_Toc16121"/>
      <w:r>
        <w:rPr>
          <w:rFonts w:hint="eastAsia" w:asciiTheme="minorEastAsia" w:hAnsiTheme="minorEastAsia" w:eastAsiaTheme="minorEastAsia" w:cstheme="minorEastAsia"/>
          <w:sz w:val="24"/>
          <w:szCs w:val="24"/>
        </w:rPr>
        <w:t>公司现址未在世界遗产地。为了不在世界遗产地勘探或建设新的项目或造成重大变动。公司编制了《</w:t>
      </w:r>
      <w:r>
        <w:rPr>
          <w:rFonts w:hint="eastAsia" w:asciiTheme="minorEastAsia" w:hAnsiTheme="minorEastAsia" w:eastAsiaTheme="minorEastAsia" w:cstheme="minorEastAsia"/>
          <w:sz w:val="24"/>
          <w:szCs w:val="24"/>
          <w:lang w:eastAsia="zh-CN"/>
        </w:rPr>
        <w:t>新、改、扩建项目控制管理程序</w:t>
      </w:r>
      <w:r>
        <w:rPr>
          <w:rFonts w:hint="eastAsia" w:asciiTheme="minorEastAsia" w:hAnsiTheme="minorEastAsia" w:eastAsiaTheme="minorEastAsia" w:cstheme="minorEastAsia"/>
          <w:sz w:val="24"/>
          <w:szCs w:val="24"/>
        </w:rPr>
        <w:t>》明确规定严禁在世界遗产地选址。确保在世界遗产地的现有运营以及遗产地附近的现有和未来运营，不与遗产地突出的普遍价值不符，不会危及它的完整性。</w:t>
      </w:r>
      <w:bookmarkEnd w:id="67"/>
      <w:bookmarkEnd w:id="68"/>
    </w:p>
    <w:p w14:paraId="7052D1EC">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4C985AEE">
      <w:pPr>
        <w:spacing w:line="360" w:lineRule="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《新、改、扩建项目控制管理程序》</w:t>
      </w:r>
    </w:p>
    <w:p w14:paraId="34B5398F">
      <w:pPr>
        <w:spacing w:line="360" w:lineRule="auto"/>
        <w:outlineLvl w:val="0"/>
        <w:rPr>
          <w:rFonts w:hint="eastAsia" w:asciiTheme="minorEastAsia" w:hAnsiTheme="minorEastAsia" w:eastAsiaTheme="minorEastAsia" w:cstheme="minorEastAsia"/>
          <w:b/>
          <w:sz w:val="28"/>
          <w:szCs w:val="28"/>
        </w:rPr>
      </w:pPr>
      <w:bookmarkStart w:id="69" w:name="_Toc16094"/>
      <w:r>
        <w:rPr>
          <w:rFonts w:hint="eastAsia" w:asciiTheme="minorEastAsia" w:hAnsiTheme="minorEastAsia" w:eastAsiaTheme="minorEastAsia" w:cstheme="minorEastAsia"/>
          <w:b/>
          <w:sz w:val="28"/>
          <w:szCs w:val="28"/>
        </w:rPr>
        <w:t>8.6保护区</w:t>
      </w:r>
      <w:bookmarkEnd w:id="69"/>
    </w:p>
    <w:p w14:paraId="68CD4CE4">
      <w:pPr>
        <w:spacing w:line="360" w:lineRule="auto"/>
        <w:rPr>
          <w:rFonts w:hint="eastAsia" w:eastAsiaTheme="minorEastAsia"/>
          <w:sz w:val="24"/>
          <w:szCs w:val="24"/>
        </w:rPr>
      </w:pPr>
      <w:r>
        <w:rPr>
          <w:rFonts w:hint="eastAsia" w:eastAsiaTheme="minorEastAsia"/>
          <w:sz w:val="24"/>
          <w:szCs w:val="24"/>
        </w:rPr>
        <w:t>公司现址未在保护区。为了不在保护区勘探或建设新的项目或造成重大变动。公司编制了《</w:t>
      </w:r>
      <w:r>
        <w:rPr>
          <w:rFonts w:hint="eastAsia" w:eastAsiaTheme="minorEastAsia"/>
          <w:sz w:val="24"/>
          <w:szCs w:val="24"/>
          <w:lang w:eastAsia="zh-CN"/>
        </w:rPr>
        <w:t>新、改、扩建项目控制管理程序</w:t>
      </w:r>
      <w:r>
        <w:rPr>
          <w:rFonts w:hint="eastAsia" w:eastAsiaTheme="minorEastAsia"/>
          <w:sz w:val="24"/>
          <w:szCs w:val="24"/>
        </w:rPr>
        <w:t>》明确规定严禁在保护区选址。确保在保护区的现有运营以及遗产地附近的现有和未来运营，不与遗产地突出的普遍价值不符，不会危及它的完整性。</w:t>
      </w:r>
    </w:p>
    <w:p w14:paraId="270BB4F9">
      <w:pPr>
        <w:pStyle w:val="2"/>
        <w:spacing w:line="360" w:lineRule="auto"/>
        <w:rPr>
          <w:rFonts w:hint="eastAsia" w:eastAsiaTheme="minorEastAsia"/>
          <w:color w:val="auto"/>
          <w:sz w:val="24"/>
          <w:szCs w:val="24"/>
        </w:rPr>
      </w:pPr>
      <w:bookmarkStart w:id="70" w:name="_Toc1809"/>
      <w:bookmarkStart w:id="71" w:name="_Toc726"/>
      <w:r>
        <w:rPr>
          <w:rFonts w:hint="eastAsia" w:eastAsiaTheme="minorEastAsia"/>
          <w:color w:val="auto"/>
          <w:sz w:val="24"/>
          <w:szCs w:val="24"/>
        </w:rPr>
        <w:t>本条支持文件：</w:t>
      </w:r>
      <w:bookmarkEnd w:id="70"/>
      <w:bookmarkEnd w:id="71"/>
    </w:p>
    <w:p w14:paraId="3744E71E">
      <w:pPr>
        <w:pStyle w:val="2"/>
        <w:spacing w:line="360" w:lineRule="auto"/>
        <w:rPr>
          <w:rFonts w:hint="eastAsia" w:eastAsiaTheme="minorEastAsia"/>
          <w:color w:val="auto"/>
          <w:sz w:val="24"/>
          <w:szCs w:val="24"/>
        </w:rPr>
      </w:pPr>
      <w:bookmarkStart w:id="72" w:name="_Toc260"/>
      <w:bookmarkStart w:id="73" w:name="_Toc28180"/>
      <w:r>
        <w:rPr>
          <w:rFonts w:hint="eastAsia" w:eastAsiaTheme="minorEastAsia"/>
          <w:color w:val="auto"/>
          <w:sz w:val="24"/>
          <w:szCs w:val="24"/>
        </w:rPr>
        <w:t>《</w:t>
      </w:r>
      <w:r>
        <w:rPr>
          <w:rFonts w:hint="eastAsia" w:asciiTheme="minorEastAsia" w:hAnsiTheme="minorEastAsia" w:eastAsiaTheme="minorEastAsia" w:cstheme="minorEastAsia"/>
          <w:color w:val="auto"/>
          <w:sz w:val="24"/>
        </w:rPr>
        <w:t>新、改、扩建项目控制管理程序</w:t>
      </w:r>
      <w:r>
        <w:rPr>
          <w:rFonts w:hint="eastAsia" w:eastAsiaTheme="minorEastAsia"/>
          <w:color w:val="auto"/>
          <w:sz w:val="24"/>
          <w:szCs w:val="24"/>
        </w:rPr>
        <w:t>》</w:t>
      </w:r>
      <w:bookmarkEnd w:id="72"/>
      <w:bookmarkEnd w:id="73"/>
    </w:p>
    <w:p w14:paraId="6A2F58A6">
      <w:pPr>
        <w:pStyle w:val="2"/>
        <w:spacing w:line="360" w:lineRule="auto"/>
        <w:rPr>
          <w:rFonts w:hint="eastAsia" w:asciiTheme="minorEastAsia" w:hAnsiTheme="minorEastAsia" w:eastAsiaTheme="minorEastAsia" w:cstheme="minorEastAsia"/>
          <w:b/>
          <w:szCs w:val="24"/>
        </w:rPr>
      </w:pPr>
      <w:bookmarkStart w:id="74" w:name="_Toc6556"/>
      <w:r>
        <w:rPr>
          <w:rFonts w:hint="eastAsia" w:asciiTheme="minorEastAsia" w:hAnsiTheme="minorEastAsia" w:eastAsiaTheme="minorEastAsia" w:cstheme="minorEastAsia"/>
          <w:b/>
          <w:szCs w:val="24"/>
        </w:rPr>
        <w:t>8.7矿山修复</w:t>
      </w:r>
      <w:bookmarkEnd w:id="74"/>
    </w:p>
    <w:p w14:paraId="10557B46">
      <w:pPr>
        <w:spacing w:line="360" w:lineRule="auto"/>
        <w:ind w:firstLine="480" w:firstLineChars="200"/>
        <w:rPr>
          <w:rFonts w:eastAsiaTheme="minorEastAsia"/>
          <w:sz w:val="24"/>
        </w:rPr>
      </w:pPr>
      <w:r>
        <w:rPr>
          <w:rFonts w:eastAsiaTheme="minorEastAsia"/>
          <w:sz w:val="24"/>
        </w:rPr>
        <w:t>本公司为材料生产企业，本条不适用。</w:t>
      </w:r>
    </w:p>
    <w:p w14:paraId="27C2B086">
      <w:pPr>
        <w:pStyle w:val="25"/>
        <w:spacing w:before="0" w:after="0" w:line="360" w:lineRule="auto"/>
        <w:rPr>
          <w:rFonts w:ascii="Times New Roman" w:hAnsi="Times New Roman" w:cs="Times New Roman" w:eastAsiaTheme="minorEastAsia"/>
          <w:sz w:val="36"/>
          <w:szCs w:val="24"/>
        </w:rPr>
      </w:pPr>
      <w:r>
        <w:rPr>
          <w:rFonts w:ascii="Times New Roman" w:hAnsi="Times New Roman" w:cs="Times New Roman" w:eastAsiaTheme="minorEastAsia"/>
          <w:sz w:val="24"/>
          <w:szCs w:val="24"/>
        </w:rPr>
        <w:br w:type="page"/>
      </w:r>
      <w:bookmarkStart w:id="75" w:name="_Toc22319"/>
      <w:r>
        <w:rPr>
          <w:rFonts w:hint="eastAsia" w:ascii="微软雅黑" w:hAnsi="微软雅黑" w:eastAsia="微软雅黑" w:cs="微软雅黑"/>
          <w:sz w:val="30"/>
          <w:szCs w:val="30"/>
        </w:rPr>
        <w:t>9人权</w:t>
      </w:r>
      <w:bookmarkEnd w:id="75"/>
    </w:p>
    <w:p w14:paraId="03AC72AE">
      <w:pPr>
        <w:spacing w:line="360" w:lineRule="auto"/>
        <w:rPr>
          <w:rFonts w:hint="eastAsia" w:eastAsiaTheme="minorEastAsia"/>
          <w:sz w:val="24"/>
          <w:szCs w:val="24"/>
        </w:rPr>
      </w:pPr>
      <w:r>
        <w:rPr>
          <w:rFonts w:eastAsiaTheme="minorEastAsia"/>
          <w:sz w:val="24"/>
        </w:rPr>
        <w:t>原则：实体应尊重和支持受其行动影响的个人和集体人权，实体应采取适当行动，以符合国际人权的方式评估、预防和弥补对人权的潜在不利影响。</w:t>
      </w:r>
    </w:p>
    <w:p w14:paraId="1CBC882C">
      <w:pPr>
        <w:pStyle w:val="2"/>
        <w:spacing w:line="360" w:lineRule="auto"/>
        <w:rPr>
          <w:rFonts w:hint="eastAsia" w:asciiTheme="minorEastAsia" w:hAnsiTheme="minorEastAsia" w:eastAsiaTheme="minorEastAsia" w:cstheme="minorEastAsia"/>
          <w:b/>
          <w:szCs w:val="24"/>
        </w:rPr>
      </w:pPr>
      <w:bookmarkStart w:id="76" w:name="_Toc1571"/>
      <w:r>
        <w:rPr>
          <w:rFonts w:hint="eastAsia" w:asciiTheme="minorEastAsia" w:hAnsiTheme="minorEastAsia" w:eastAsiaTheme="minorEastAsia" w:cstheme="minorEastAsia"/>
          <w:b/>
          <w:szCs w:val="24"/>
        </w:rPr>
        <w:t>9.1 人权尽职调查</w:t>
      </w:r>
      <w:bookmarkEnd w:id="76"/>
    </w:p>
    <w:p w14:paraId="07C0C15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9.1.1公司遵守联合国关于商业与人权的指导原则，制定了尊重人权和促进两性平等的方针，管理部组织针对公司的运营、产品或服务进行人权尽职调查。公司每年对公司的方针和尊重人权的实践进行评审，对潜在的风险和不符合进行改善。</w:t>
      </w:r>
    </w:p>
    <w:p w14:paraId="2A3D7245">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1）至少每五年对人权方针承诺书进行一次复审。</w:t>
      </w:r>
    </w:p>
    <w:p w14:paraId="7592711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2）在企业有任何变动，并导致人权的实质性风险发生变化后，对人权方针承诺书进行审查。</w:t>
      </w:r>
    </w:p>
    <w:p w14:paraId="0E08EBC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3）在出现控制缺陷迹象时，要对人权方针承诺书进行审查。</w:t>
      </w:r>
    </w:p>
    <w:p w14:paraId="074AE1B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4）公开发布最新版本的人权方针承诺书。</w:t>
      </w:r>
    </w:p>
    <w:p w14:paraId="2AEB844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9.1.2管理部不定期向受影响人群和组织征询意见，并在可能情况下请他们参与制订促进性别平等的人权尽职调查程序，力求识别、预防、减轻和说明该程序如何处理其对人权的实际和潜在影响，包括对实体自身运营以及通过产品或服务建立的商业关系中的任何实质性的遗留影响，并且:</w:t>
      </w:r>
    </w:p>
    <w:p w14:paraId="283DBF9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1）至少每五年复审一次人权尽职调查程序。</w:t>
      </w:r>
    </w:p>
    <w:p w14:paraId="7D1792D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2）在企业有任何变动，并导致人权的实质性风险发生变化后，对人权尽职调查程序进行审查。</w:t>
      </w:r>
    </w:p>
    <w:p w14:paraId="0C69A1F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3）在出现控制缺陷迹象时，要对人权尽职调查程序进行审查。</w:t>
      </w:r>
    </w:p>
    <w:p w14:paraId="4B785D39">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color w:val="auto"/>
          <w:sz w:val="24"/>
        </w:rPr>
        <w:t>9.</w:t>
      </w:r>
      <w:r>
        <w:rPr>
          <w:rFonts w:hint="eastAsia" w:asciiTheme="minorEastAsia" w:hAnsiTheme="minorEastAsia" w:eastAsiaTheme="minorEastAsia" w:cstheme="minorEastAsia"/>
          <w:color w:val="auto"/>
          <w:sz w:val="24"/>
          <w:highlight w:val="none"/>
        </w:rPr>
        <w:t>1.3管理部应建立受影响人群和公司的信息分布图。确</w:t>
      </w:r>
      <w:r>
        <w:rPr>
          <w:rFonts w:hint="eastAsia" w:asciiTheme="minorEastAsia" w:hAnsiTheme="minorEastAsia" w:eastAsiaTheme="minorEastAsia" w:cstheme="minorEastAsia"/>
          <w:color w:val="auto"/>
          <w:sz w:val="24"/>
        </w:rPr>
        <w:t>保受影响</w:t>
      </w:r>
      <w:r>
        <w:rPr>
          <w:rFonts w:hint="eastAsia" w:asciiTheme="minorEastAsia" w:hAnsiTheme="minorEastAsia" w:eastAsiaTheme="minorEastAsia" w:cstheme="minorEastAsia"/>
          <w:sz w:val="24"/>
        </w:rPr>
        <w:t>的人群和组织:</w:t>
      </w:r>
    </w:p>
    <w:p w14:paraId="639D264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1）已经与实体建立了关系。</w:t>
      </w:r>
    </w:p>
    <w:p w14:paraId="05A38C6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2）就企业运营活动和潜在的重大人权影响进行磋商，并向其通报企业的投诉解决机制。</w:t>
      </w:r>
    </w:p>
    <w:p w14:paraId="1AD6511C">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9.1.4如果公司通过应有的尽职调查和/或申诉确认造成或促成了不利的人权影响，则应通过合法程序提供补救或合作。</w:t>
      </w:r>
    </w:p>
    <w:p w14:paraId="08C54F9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09B83E7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《尽职调查管理规定》</w:t>
      </w:r>
    </w:p>
    <w:p w14:paraId="7E18BBF4">
      <w:pPr>
        <w:spacing w:line="360"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受影响人群组织信息分布图</w:t>
      </w:r>
      <w:r>
        <w:rPr>
          <w:rFonts w:hint="eastAsia" w:ascii="宋体" w:hAnsi="宋体" w:eastAsia="宋体" w:cs="宋体"/>
          <w:sz w:val="24"/>
          <w:szCs w:val="24"/>
          <w:lang w:eastAsia="zh-CN"/>
        </w:rPr>
        <w:t>》</w:t>
      </w:r>
    </w:p>
    <w:p w14:paraId="35C14B58">
      <w:pPr>
        <w:pStyle w:val="2"/>
        <w:spacing w:line="360" w:lineRule="auto"/>
        <w:rPr>
          <w:rFonts w:hint="eastAsia" w:asciiTheme="minorEastAsia" w:hAnsiTheme="minorEastAsia" w:eastAsiaTheme="minorEastAsia" w:cstheme="minorEastAsia"/>
          <w:b/>
          <w:szCs w:val="24"/>
        </w:rPr>
      </w:pPr>
      <w:bookmarkStart w:id="77" w:name="_Toc2485"/>
      <w:r>
        <w:rPr>
          <w:rFonts w:hint="eastAsia" w:asciiTheme="minorEastAsia" w:hAnsiTheme="minorEastAsia" w:eastAsiaTheme="minorEastAsia" w:cstheme="minorEastAsia"/>
          <w:b/>
          <w:szCs w:val="24"/>
        </w:rPr>
        <w:t>9.2 性别平等和妇女权利</w:t>
      </w:r>
      <w:bookmarkEnd w:id="77"/>
    </w:p>
    <w:p w14:paraId="750F9EA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9.2.1公司尊重妇女的各项权利和利益，包括但不限于工作权、管理活动、合同授予、受教育权、选举权和健康权等。解决职业发展的障碍，歧视，暴力和骚扰。同时应：</w:t>
      </w:r>
    </w:p>
    <w:p w14:paraId="7346E56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1）至少每五年对性别平等和妇女权利项目进行一次复审。</w:t>
      </w:r>
    </w:p>
    <w:p w14:paraId="01DC889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2）在企业有任何变动，并导致性别平等的实质性风险发生变化后，对该项目进行审查。</w:t>
      </w:r>
    </w:p>
    <w:p w14:paraId="0471351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3）在出现控制缺陷迹象时，要对改项目进行审查。</w:t>
      </w:r>
    </w:p>
    <w:p w14:paraId="4DBFF64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9.2.2每年公开披露为促进性别平等而采取的措施的有效性。</w:t>
      </w:r>
    </w:p>
    <w:p w14:paraId="5D815A45">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7EDB609D">
      <w:pPr>
        <w:pStyle w:val="2"/>
        <w:spacing w:line="360" w:lineRule="auto"/>
        <w:rPr>
          <w:rFonts w:hint="eastAsia" w:asciiTheme="minorEastAsia" w:hAnsiTheme="minorEastAsia" w:eastAsiaTheme="minorEastAsia" w:cstheme="minorEastAsia"/>
          <w:sz w:val="24"/>
        </w:rPr>
      </w:pPr>
      <w:bookmarkStart w:id="78" w:name="_Toc14178"/>
      <w:bookmarkStart w:id="79" w:name="_Toc22365"/>
      <w:r>
        <w:rPr>
          <w:rFonts w:hint="eastAsia" w:asciiTheme="minorEastAsia" w:hAnsiTheme="minorEastAsia" w:eastAsiaTheme="minorEastAsia" w:cstheme="minorEastAsia"/>
          <w:sz w:val="24"/>
        </w:rPr>
        <w:t>《禁止歧视及女工特殊保护管理规定》</w:t>
      </w:r>
      <w:bookmarkEnd w:id="78"/>
      <w:bookmarkEnd w:id="79"/>
    </w:p>
    <w:p w14:paraId="3EB9E08F">
      <w:pPr>
        <w:pStyle w:val="2"/>
        <w:spacing w:line="360" w:lineRule="auto"/>
        <w:rPr>
          <w:rFonts w:hint="eastAsia" w:asciiTheme="minorEastAsia" w:hAnsiTheme="minorEastAsia" w:eastAsiaTheme="minorEastAsia" w:cstheme="minorEastAsia"/>
          <w:b/>
          <w:szCs w:val="24"/>
        </w:rPr>
      </w:pPr>
      <w:bookmarkStart w:id="80" w:name="_Toc2080"/>
      <w:r>
        <w:rPr>
          <w:rFonts w:hint="eastAsia" w:asciiTheme="minorEastAsia" w:hAnsiTheme="minorEastAsia" w:eastAsiaTheme="minorEastAsia" w:cstheme="minorEastAsia"/>
          <w:b/>
          <w:szCs w:val="24"/>
        </w:rPr>
        <w:t>9.3 原住民</w:t>
      </w:r>
      <w:bookmarkEnd w:id="80"/>
    </w:p>
    <w:p w14:paraId="242CA814">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公司尊重原住民的权利和利益。目前公司所在地无原住民或其土地、领地和资源的存在，本条不适用。</w:t>
      </w:r>
    </w:p>
    <w:p w14:paraId="6149F2AB">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07084A2D">
      <w:pPr>
        <w:spacing w:before="93" w:beforeLines="30" w:line="480" w:lineRule="exact"/>
        <w:ind w:firstLine="480" w:firstLineChars="200"/>
        <w:jc w:val="both"/>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highlight w:val="none"/>
          <w:lang w:val="en-US" w:eastAsia="zh-CN"/>
        </w:rPr>
        <w:t>原住民保护管理规定》</w:t>
      </w:r>
    </w:p>
    <w:p w14:paraId="0CE481BF">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eastAsia="zh-CN"/>
        </w:rPr>
        <w:t>新、改、扩建项目控制管理程序</w:t>
      </w:r>
      <w:r>
        <w:rPr>
          <w:rFonts w:hint="eastAsia" w:asciiTheme="minorEastAsia" w:hAnsiTheme="minorEastAsia" w:eastAsiaTheme="minorEastAsia" w:cstheme="minorEastAsia"/>
          <w:sz w:val="24"/>
        </w:rPr>
        <w:t>》</w:t>
      </w:r>
    </w:p>
    <w:p w14:paraId="6038D09E">
      <w:pPr>
        <w:pStyle w:val="2"/>
        <w:spacing w:line="360" w:lineRule="auto"/>
        <w:rPr>
          <w:rFonts w:hint="eastAsia" w:asciiTheme="minorEastAsia" w:hAnsiTheme="minorEastAsia" w:eastAsiaTheme="minorEastAsia" w:cstheme="minorEastAsia"/>
          <w:b/>
          <w:szCs w:val="24"/>
        </w:rPr>
      </w:pPr>
      <w:bookmarkStart w:id="81" w:name="_Toc16329"/>
      <w:r>
        <w:rPr>
          <w:rFonts w:hint="eastAsia" w:asciiTheme="minorEastAsia" w:hAnsiTheme="minorEastAsia" w:eastAsiaTheme="minorEastAsia" w:cstheme="minorEastAsia"/>
          <w:b/>
          <w:szCs w:val="24"/>
        </w:rPr>
        <w:t>9.4 自主、事先和知情同意（FPIC）</w:t>
      </w:r>
      <w:bookmarkEnd w:id="81"/>
    </w:p>
    <w:p w14:paraId="16503A21">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当新项目或现有项目的重大改变可能对与相关土地具有文化关联、居住在此类土地上的原住民产生重要影响，公司积极与原住民沟通，并与原住民善意合作，以便在其土地或领土和其他资源发生影响的任何项目获批前取得其自主的知情同意。目前公司所在地无原住民或其土地、领地和资源的存在。</w:t>
      </w:r>
    </w:p>
    <w:p w14:paraId="18C671C3">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35523003">
      <w:pPr>
        <w:spacing w:line="360" w:lineRule="auto"/>
        <w:ind w:firstLine="480" w:firstLineChars="200"/>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highlight w:val="none"/>
          <w:lang w:val="en-US" w:eastAsia="zh-CN"/>
        </w:rPr>
        <w:t>原住民保护</w:t>
      </w:r>
      <w:r>
        <w:rPr>
          <w:rFonts w:hint="eastAsia" w:asciiTheme="minorEastAsia" w:hAnsiTheme="minorEastAsia" w:eastAsiaTheme="minorEastAsia" w:cstheme="minorEastAsia"/>
          <w:b w:val="0"/>
          <w:bCs w:val="0"/>
          <w:sz w:val="24"/>
          <w:szCs w:val="24"/>
        </w:rPr>
        <w:t>&amp;FPIC</w:t>
      </w:r>
      <w:r>
        <w:rPr>
          <w:rFonts w:hint="eastAsia" w:asciiTheme="minorEastAsia" w:hAnsiTheme="minorEastAsia" w:eastAsiaTheme="minorEastAsia" w:cstheme="minorEastAsia"/>
          <w:b w:val="0"/>
          <w:bCs w:val="0"/>
          <w:sz w:val="24"/>
          <w:szCs w:val="24"/>
          <w:highlight w:val="none"/>
          <w:lang w:val="en-US" w:eastAsia="zh-CN"/>
        </w:rPr>
        <w:t>管理规定</w:t>
      </w:r>
      <w:r>
        <w:rPr>
          <w:rFonts w:hint="eastAsia" w:asciiTheme="minorEastAsia" w:hAnsiTheme="minorEastAsia" w:eastAsiaTheme="minorEastAsia" w:cstheme="minorEastAsia"/>
          <w:b w:val="0"/>
          <w:bCs w:val="0"/>
          <w:sz w:val="24"/>
          <w:szCs w:val="24"/>
          <w:lang w:eastAsia="zh-CN"/>
        </w:rPr>
        <w:t>》</w:t>
      </w:r>
    </w:p>
    <w:p w14:paraId="1ED2CC99">
      <w:pPr>
        <w:pStyle w:val="2"/>
        <w:spacing w:line="360" w:lineRule="auto"/>
        <w:rPr>
          <w:rFonts w:hint="eastAsia" w:asciiTheme="minorEastAsia" w:hAnsiTheme="minorEastAsia" w:eastAsiaTheme="minorEastAsia" w:cstheme="minorEastAsia"/>
          <w:b/>
          <w:szCs w:val="24"/>
        </w:rPr>
      </w:pPr>
      <w:bookmarkStart w:id="82" w:name="_Toc13713"/>
      <w:r>
        <w:rPr>
          <w:rFonts w:hint="eastAsia" w:asciiTheme="minorEastAsia" w:hAnsiTheme="minorEastAsia" w:eastAsiaTheme="minorEastAsia" w:cstheme="minorEastAsia"/>
          <w:b/>
          <w:szCs w:val="24"/>
        </w:rPr>
        <w:t>9.5 文化遗产和宗教圣地</w:t>
      </w:r>
      <w:bookmarkEnd w:id="82"/>
    </w:p>
    <w:p w14:paraId="49131979">
      <w:pPr>
        <w:spacing w:line="360" w:lineRule="auto"/>
        <w:ind w:firstLine="480" w:firstLineChars="20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公司保持受影响社区的沟通和协调，共同确定宗教圣地或文化遗址以及受影响地区的价值，并采取适当保护措施避免或弥补影响，保证继续使用这些遗址或价值的权利。</w:t>
      </w:r>
    </w:p>
    <w:p w14:paraId="0BCE539B">
      <w:pPr>
        <w:spacing w:line="360" w:lineRule="auto"/>
        <w:ind w:firstLine="480" w:firstLineChars="20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本条支持文件：</w:t>
      </w:r>
    </w:p>
    <w:p w14:paraId="2D08C2B3">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z w:val="24"/>
          <w:lang w:eastAsia="zh-CN"/>
        </w:rPr>
        <w:t>新、改、扩建项目控制管理程序</w:t>
      </w:r>
      <w:r>
        <w:rPr>
          <w:rFonts w:hint="eastAsia" w:asciiTheme="minorEastAsia" w:hAnsiTheme="minorEastAsia" w:eastAsiaTheme="minorEastAsia" w:cstheme="minorEastAsia"/>
          <w:color w:val="auto"/>
          <w:sz w:val="24"/>
        </w:rPr>
        <w:t>》</w:t>
      </w:r>
    </w:p>
    <w:p w14:paraId="7CC5221A">
      <w:pPr>
        <w:pStyle w:val="2"/>
        <w:spacing w:line="360" w:lineRule="auto"/>
        <w:rPr>
          <w:rFonts w:hint="eastAsia" w:asciiTheme="minorEastAsia" w:hAnsiTheme="minorEastAsia" w:eastAsiaTheme="minorEastAsia" w:cstheme="minorEastAsia"/>
          <w:b/>
          <w:szCs w:val="24"/>
        </w:rPr>
      </w:pPr>
      <w:bookmarkStart w:id="83" w:name="_Toc28317"/>
      <w:r>
        <w:rPr>
          <w:rFonts w:hint="eastAsia" w:asciiTheme="minorEastAsia" w:hAnsiTheme="minorEastAsia" w:eastAsiaTheme="minorEastAsia" w:cstheme="minorEastAsia"/>
          <w:b/>
          <w:szCs w:val="24"/>
        </w:rPr>
        <w:t>9.6迁移</w:t>
      </w:r>
      <w:bookmarkEnd w:id="83"/>
    </w:p>
    <w:p w14:paraId="06983AD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9.6.1在新改扩建项目设计的时候，公司优先考虑可行的替代办法，以避免或尽量减少人群在物理上和/或财产上的迁移，同时兼顾环境、社会和财政成本和效益，特别注意对穷人、弱势和高风险群体的影响，也包括对妇女的影响。</w:t>
      </w:r>
    </w:p>
    <w:p w14:paraId="31BA35E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9.6.2如迁移不可避免，公司会和当地政府沟通，制定一项重新安置行动计划。</w:t>
      </w:r>
    </w:p>
    <w:p w14:paraId="369E49B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1）与受影响各方协商和合作，制订一项重新安置行动计划，该计划应至少包括IFC绩效标准5(土地收购和非自愿重新安置)的适用要求。</w:t>
      </w:r>
    </w:p>
    <w:p w14:paraId="717E3B9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2）遵守适用法律，不论受影响人数多少。</w:t>
      </w:r>
    </w:p>
    <w:p w14:paraId="12C1928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3）生活条件和收入选择应等同或超过重新安置前的条件和选择。</w:t>
      </w:r>
    </w:p>
    <w:p w14:paraId="18496C0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9.6.3在物理迁移不可避免的情况下，应：</w:t>
      </w:r>
    </w:p>
    <w:p w14:paraId="07A3B1F5">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1）至少每五年对重新安置行动计划进行一次复审。</w:t>
      </w:r>
    </w:p>
    <w:p w14:paraId="1BB9B15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2）在企业有任何变动，并导致制定计划的条件发生实质变化后，对重新安置计划进行审查。</w:t>
      </w:r>
    </w:p>
    <w:p w14:paraId="1AF4C916">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3）在出现控制缺陷迹象时，要对改重新安置计划进行审查。</w:t>
      </w:r>
    </w:p>
    <w:p w14:paraId="3BD317C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4）公开披露最新版本的重新安置行动计划，包括受影响的人数。</w:t>
      </w:r>
    </w:p>
    <w:p w14:paraId="694E5EE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5）在重新安置行动计划执行期间或在偏离重新安置行动计划的情况下，应每年与受影响各方分享重新安置行动计划的进展情况。</w:t>
      </w:r>
    </w:p>
    <w:p w14:paraId="7E9AE64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6）在涉及原住民的迁移时，获得原住民的自主、事先和知情同意（FPIC）。</w:t>
      </w:r>
    </w:p>
    <w:p w14:paraId="55CB660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7）公开披露自主、事先和知情同意（FPIC）的相关情况，以及获得或未获得的情况。</w:t>
      </w:r>
    </w:p>
    <w:p w14:paraId="0A941F99">
      <w:pPr>
        <w:spacing w:line="360" w:lineRule="auto"/>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rPr>
        <w:t>9.6.4目前公司不存在由于项目有关的土地征用或对土地使用的限制而导致失去收入来源或其他生计手段，包括搬迁或住房损失，以及经济转移－丧失资产或丧失获得资产的</w:t>
      </w:r>
      <w:r>
        <w:rPr>
          <w:rFonts w:hint="eastAsia" w:asciiTheme="minorEastAsia" w:hAnsiTheme="minorEastAsia" w:eastAsiaTheme="minorEastAsia" w:cstheme="minorEastAsia"/>
          <w:sz w:val="24"/>
          <w:highlight w:val="none"/>
        </w:rPr>
        <w:t>机会的情况。</w:t>
      </w:r>
    </w:p>
    <w:p w14:paraId="0184C67B">
      <w:pPr>
        <w:spacing w:line="360" w:lineRule="auto"/>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本条支持文件：</w:t>
      </w:r>
    </w:p>
    <w:p w14:paraId="1171E151">
      <w:pPr>
        <w:spacing w:line="360" w:lineRule="auto"/>
        <w:rPr>
          <w:rFonts w:hint="eastAsia" w:asciiTheme="minorEastAsia" w:hAnsiTheme="minorEastAsia" w:eastAsiaTheme="minorEastAsia" w:cstheme="minorEastAsia"/>
          <w:sz w:val="24"/>
          <w:highlight w:val="none"/>
          <w:lang w:eastAsia="zh-CN"/>
        </w:rPr>
      </w:pPr>
      <w:r>
        <w:rPr>
          <w:rFonts w:hint="eastAsia" w:asciiTheme="minorEastAsia" w:hAnsiTheme="minorEastAsia" w:eastAsiaTheme="minorEastAsia" w:cstheme="minorEastAsia"/>
          <w:sz w:val="24"/>
          <w:highlight w:val="none"/>
          <w:lang w:eastAsia="zh-CN"/>
        </w:rPr>
        <w:t>《</w:t>
      </w:r>
      <w:r>
        <w:rPr>
          <w:rFonts w:hint="eastAsia" w:asciiTheme="minorEastAsia" w:hAnsiTheme="minorEastAsia" w:eastAsiaTheme="minorEastAsia" w:cstheme="minorEastAsia"/>
          <w:sz w:val="24"/>
          <w:highlight w:val="none"/>
          <w:lang w:val="en-US" w:eastAsia="zh-CN"/>
        </w:rPr>
        <w:t>重新安置管理制度</w:t>
      </w:r>
      <w:r>
        <w:rPr>
          <w:rFonts w:hint="eastAsia" w:asciiTheme="minorEastAsia" w:hAnsiTheme="minorEastAsia" w:eastAsiaTheme="minorEastAsia" w:cstheme="minorEastAsia"/>
          <w:sz w:val="24"/>
          <w:highlight w:val="none"/>
          <w:lang w:eastAsia="zh-CN"/>
        </w:rPr>
        <w:t>》</w:t>
      </w:r>
    </w:p>
    <w:p w14:paraId="44221E2D">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eastAsia="zh-CN"/>
        </w:rPr>
        <w:t>新、改、扩建项目控制管理程序</w:t>
      </w:r>
      <w:r>
        <w:rPr>
          <w:rFonts w:hint="eastAsia" w:asciiTheme="minorEastAsia" w:hAnsiTheme="minorEastAsia" w:eastAsiaTheme="minorEastAsia" w:cstheme="minorEastAsia"/>
          <w:sz w:val="24"/>
        </w:rPr>
        <w:t>》</w:t>
      </w:r>
    </w:p>
    <w:p w14:paraId="4FE1D95F">
      <w:pPr>
        <w:pStyle w:val="2"/>
        <w:spacing w:line="360" w:lineRule="auto"/>
        <w:rPr>
          <w:rFonts w:hint="eastAsia" w:asciiTheme="minorEastAsia" w:hAnsiTheme="minorEastAsia" w:eastAsiaTheme="minorEastAsia" w:cstheme="minorEastAsia"/>
          <w:b/>
          <w:szCs w:val="24"/>
        </w:rPr>
      </w:pPr>
      <w:bookmarkStart w:id="84" w:name="_Toc25151"/>
      <w:r>
        <w:rPr>
          <w:rFonts w:hint="eastAsia" w:asciiTheme="minorEastAsia" w:hAnsiTheme="minorEastAsia" w:eastAsiaTheme="minorEastAsia" w:cstheme="minorEastAsia"/>
          <w:b/>
          <w:szCs w:val="24"/>
        </w:rPr>
        <w:t>9.7受影响人群和组织</w:t>
      </w:r>
      <w:bookmarkEnd w:id="84"/>
    </w:p>
    <w:p w14:paraId="5742A65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尊重当地社区在其土地、生计及使用自然资源方面的法律和传统权益，根据《尽职调查》查明对当地社区有影响的问题，采取适当步骤，防止并解决由于其活动对当地社区生计造成的任何不利影响。同时与当地社区探讨尊重和支持社区生计的机会。以适合公司规模和情况的方式，尊重受影响人群和组织在其土地、生计和自然资源使用方面的法律和传统权益，至少包括:</w:t>
      </w:r>
    </w:p>
    <w:p w14:paraId="7180A919">
      <w:pPr>
        <w:pStyle w:val="2"/>
        <w:spacing w:line="360" w:lineRule="auto"/>
        <w:rPr>
          <w:rFonts w:hint="eastAsia" w:asciiTheme="minorEastAsia" w:hAnsiTheme="minorEastAsia" w:eastAsiaTheme="minorEastAsia" w:cstheme="minorEastAsia"/>
          <w:sz w:val="24"/>
          <w:szCs w:val="24"/>
        </w:rPr>
      </w:pPr>
      <w:bookmarkStart w:id="85" w:name="_Toc16492"/>
      <w:bookmarkStart w:id="86" w:name="_Toc8498"/>
      <w:r>
        <w:rPr>
          <w:rFonts w:hint="eastAsia" w:asciiTheme="minorEastAsia" w:hAnsiTheme="minorEastAsia" w:eastAsiaTheme="minorEastAsia" w:cstheme="minorEastAsia"/>
          <w:sz w:val="24"/>
          <w:szCs w:val="24"/>
        </w:rPr>
        <w:t>1）实施一项计划，以识别、预防、监测、减轻和阐述其活动所造成的任何重大影响，包括健康和安全、社会和文化人权及环境影响。</w:t>
      </w:r>
      <w:bookmarkEnd w:id="85"/>
      <w:bookmarkEnd w:id="86"/>
    </w:p>
    <w:p w14:paraId="6FE41CB7">
      <w:pPr>
        <w:pStyle w:val="2"/>
        <w:spacing w:line="360" w:lineRule="auto"/>
        <w:rPr>
          <w:rFonts w:hint="eastAsia" w:asciiTheme="minorEastAsia" w:hAnsiTheme="minorEastAsia" w:eastAsiaTheme="minorEastAsia" w:cstheme="minorEastAsia"/>
          <w:sz w:val="24"/>
          <w:szCs w:val="24"/>
        </w:rPr>
      </w:pPr>
      <w:bookmarkStart w:id="87" w:name="_Toc29761"/>
      <w:bookmarkStart w:id="88" w:name="_Toc2275"/>
      <w:r>
        <w:rPr>
          <w:rFonts w:hint="eastAsia" w:asciiTheme="minorEastAsia" w:hAnsiTheme="minorEastAsia" w:eastAsiaTheme="minorEastAsia" w:cstheme="minorEastAsia"/>
          <w:sz w:val="24"/>
          <w:szCs w:val="24"/>
        </w:rPr>
        <w:t>2）向受影响人群和组织征询意见并在可能情况下让他们参与制定计划。</w:t>
      </w:r>
      <w:bookmarkEnd w:id="87"/>
      <w:bookmarkEnd w:id="88"/>
    </w:p>
    <w:p w14:paraId="1D2E8341">
      <w:pPr>
        <w:pStyle w:val="2"/>
        <w:spacing w:line="360" w:lineRule="auto"/>
        <w:rPr>
          <w:rFonts w:hint="eastAsia" w:asciiTheme="minorEastAsia" w:hAnsiTheme="minorEastAsia" w:eastAsiaTheme="minorEastAsia" w:cstheme="minorEastAsia"/>
          <w:sz w:val="24"/>
          <w:szCs w:val="24"/>
        </w:rPr>
      </w:pPr>
      <w:bookmarkStart w:id="89" w:name="_Toc29458"/>
      <w:bookmarkStart w:id="90" w:name="_Toc21113"/>
      <w:r>
        <w:rPr>
          <w:rFonts w:hint="eastAsia" w:asciiTheme="minorEastAsia" w:hAnsiTheme="minorEastAsia" w:eastAsiaTheme="minorEastAsia" w:cstheme="minorEastAsia"/>
          <w:sz w:val="24"/>
          <w:szCs w:val="24"/>
        </w:rPr>
        <w:t>3）根据计划，为社区发展投入资源。</w:t>
      </w:r>
      <w:bookmarkEnd w:id="89"/>
      <w:bookmarkEnd w:id="90"/>
    </w:p>
    <w:p w14:paraId="1C6E2850">
      <w:pPr>
        <w:pStyle w:val="2"/>
        <w:spacing w:line="360" w:lineRule="auto"/>
        <w:rPr>
          <w:rFonts w:hint="eastAsia" w:asciiTheme="minorEastAsia" w:hAnsiTheme="minorEastAsia" w:eastAsiaTheme="minorEastAsia" w:cstheme="minorEastAsia"/>
          <w:sz w:val="24"/>
          <w:szCs w:val="24"/>
        </w:rPr>
      </w:pPr>
      <w:bookmarkStart w:id="91" w:name="_Toc22420"/>
      <w:bookmarkStart w:id="92" w:name="_Toc1200"/>
      <w:r>
        <w:rPr>
          <w:rFonts w:hint="eastAsia" w:asciiTheme="minorEastAsia" w:hAnsiTheme="minorEastAsia" w:eastAsiaTheme="minorEastAsia" w:cstheme="minorEastAsia"/>
          <w:sz w:val="24"/>
          <w:szCs w:val="24"/>
        </w:rPr>
        <w:t>4）至少每五年对重新安置行动计划进行一次复审。</w:t>
      </w:r>
      <w:bookmarkEnd w:id="91"/>
      <w:bookmarkEnd w:id="92"/>
    </w:p>
    <w:p w14:paraId="1AA0BEEC">
      <w:pPr>
        <w:pStyle w:val="2"/>
        <w:spacing w:line="360" w:lineRule="auto"/>
        <w:rPr>
          <w:rFonts w:hint="eastAsia" w:asciiTheme="minorEastAsia" w:hAnsiTheme="minorEastAsia" w:eastAsiaTheme="minorEastAsia" w:cstheme="minorEastAsia"/>
          <w:sz w:val="24"/>
          <w:szCs w:val="24"/>
        </w:rPr>
      </w:pPr>
      <w:bookmarkStart w:id="93" w:name="_Toc27736"/>
      <w:bookmarkStart w:id="94" w:name="_Toc6483"/>
      <w:r>
        <w:rPr>
          <w:rFonts w:hint="eastAsia" w:asciiTheme="minorEastAsia" w:hAnsiTheme="minorEastAsia" w:eastAsiaTheme="minorEastAsia" w:cstheme="minorEastAsia"/>
          <w:sz w:val="24"/>
          <w:szCs w:val="24"/>
        </w:rPr>
        <w:t>5）在企业有任何变动，并导致环境、社会和治理方向发生实质性变化后，对计划进行复审。</w:t>
      </w:r>
      <w:bookmarkEnd w:id="93"/>
      <w:bookmarkEnd w:id="94"/>
    </w:p>
    <w:p w14:paraId="23C9133E">
      <w:pPr>
        <w:pStyle w:val="2"/>
        <w:spacing w:line="360" w:lineRule="auto"/>
        <w:rPr>
          <w:rFonts w:hint="eastAsia" w:asciiTheme="minorEastAsia" w:hAnsiTheme="minorEastAsia" w:eastAsiaTheme="minorEastAsia" w:cstheme="minorEastAsia"/>
          <w:sz w:val="24"/>
          <w:szCs w:val="24"/>
        </w:rPr>
      </w:pPr>
      <w:bookmarkStart w:id="95" w:name="_Toc4356"/>
      <w:bookmarkStart w:id="96" w:name="_Toc30625"/>
      <w:r>
        <w:rPr>
          <w:rFonts w:hint="eastAsia" w:asciiTheme="minorEastAsia" w:hAnsiTheme="minorEastAsia" w:eastAsiaTheme="minorEastAsia" w:cstheme="minorEastAsia"/>
          <w:sz w:val="24"/>
          <w:szCs w:val="24"/>
        </w:rPr>
        <w:t>6）在出现控制缺陷迹象时，要对计划进行复审。</w:t>
      </w:r>
      <w:bookmarkEnd w:id="95"/>
      <w:bookmarkEnd w:id="96"/>
    </w:p>
    <w:p w14:paraId="73F3EB24">
      <w:pPr>
        <w:pStyle w:val="2"/>
        <w:spacing w:line="360" w:lineRule="auto"/>
        <w:rPr>
          <w:rFonts w:hint="eastAsia" w:asciiTheme="minorEastAsia" w:hAnsiTheme="minorEastAsia" w:eastAsiaTheme="minorEastAsia" w:cstheme="minorEastAsia"/>
          <w:sz w:val="24"/>
          <w:szCs w:val="24"/>
        </w:rPr>
      </w:pPr>
      <w:bookmarkStart w:id="97" w:name="_Toc1978"/>
      <w:bookmarkStart w:id="98" w:name="_Toc8915"/>
      <w:r>
        <w:rPr>
          <w:rFonts w:hint="eastAsia" w:asciiTheme="minorEastAsia" w:hAnsiTheme="minorEastAsia" w:eastAsiaTheme="minorEastAsia" w:cstheme="minorEastAsia"/>
          <w:sz w:val="24"/>
          <w:szCs w:val="24"/>
        </w:rPr>
        <w:t>7）公开披露最新版本的计划。</w:t>
      </w:r>
      <w:bookmarkEnd w:id="97"/>
      <w:bookmarkEnd w:id="98"/>
    </w:p>
    <w:p w14:paraId="175ACE3A">
      <w:pPr>
        <w:pStyle w:val="2"/>
        <w:spacing w:line="360" w:lineRule="auto"/>
        <w:rPr>
          <w:rFonts w:hint="eastAsia" w:asciiTheme="minorEastAsia" w:hAnsiTheme="minorEastAsia" w:eastAsiaTheme="minorEastAsia" w:cstheme="minorEastAsia"/>
          <w:sz w:val="24"/>
          <w:szCs w:val="24"/>
        </w:rPr>
      </w:pPr>
      <w:bookmarkStart w:id="99" w:name="_Toc21890"/>
      <w:bookmarkStart w:id="100" w:name="_Toc30134"/>
      <w:r>
        <w:rPr>
          <w:rFonts w:hint="eastAsia" w:asciiTheme="minorEastAsia" w:hAnsiTheme="minorEastAsia" w:eastAsiaTheme="minorEastAsia" w:cstheme="minorEastAsia"/>
          <w:sz w:val="24"/>
          <w:szCs w:val="24"/>
        </w:rPr>
        <w:t>8）与当地社区探索尊重和支持他们生计的机会。</w:t>
      </w:r>
      <w:bookmarkEnd w:id="99"/>
      <w:bookmarkEnd w:id="100"/>
    </w:p>
    <w:p w14:paraId="56EED200">
      <w:pPr>
        <w:pStyle w:val="2"/>
        <w:spacing w:line="360" w:lineRule="auto"/>
        <w:rPr>
          <w:rFonts w:hint="eastAsia" w:asciiTheme="minorEastAsia" w:hAnsiTheme="minorEastAsia" w:eastAsiaTheme="minorEastAsia" w:cstheme="minorEastAsia"/>
          <w:sz w:val="24"/>
          <w:szCs w:val="24"/>
        </w:rPr>
      </w:pPr>
      <w:bookmarkStart w:id="101" w:name="_Toc30239"/>
      <w:bookmarkStart w:id="102" w:name="_Toc19276"/>
      <w:r>
        <w:rPr>
          <w:rFonts w:hint="eastAsia" w:asciiTheme="minorEastAsia" w:hAnsiTheme="minorEastAsia" w:eastAsiaTheme="minorEastAsia" w:cstheme="minorEastAsia"/>
          <w:sz w:val="24"/>
          <w:szCs w:val="24"/>
        </w:rPr>
        <w:t>本条支持文件：</w:t>
      </w:r>
      <w:bookmarkEnd w:id="101"/>
      <w:bookmarkEnd w:id="102"/>
    </w:p>
    <w:p w14:paraId="5B346D96">
      <w:pPr>
        <w:pStyle w:val="2"/>
        <w:spacing w:line="360" w:lineRule="auto"/>
        <w:rPr>
          <w:rFonts w:hint="eastAsia" w:asciiTheme="minorEastAsia" w:hAnsiTheme="minorEastAsia" w:eastAsiaTheme="minorEastAsia" w:cstheme="minorEastAsia"/>
          <w:sz w:val="24"/>
        </w:rPr>
      </w:pPr>
      <w:bookmarkStart w:id="103" w:name="_Toc10710"/>
      <w:bookmarkStart w:id="104" w:name="_Toc27196"/>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新、改、扩建项目控制管理程序</w:t>
      </w:r>
      <w:r>
        <w:rPr>
          <w:rFonts w:hint="eastAsia" w:asciiTheme="minorEastAsia" w:hAnsiTheme="minorEastAsia" w:eastAsiaTheme="minorEastAsia" w:cstheme="minorEastAsia"/>
          <w:sz w:val="24"/>
          <w:szCs w:val="24"/>
        </w:rPr>
        <w:t>》</w:t>
      </w:r>
      <w:bookmarkEnd w:id="103"/>
      <w:bookmarkEnd w:id="104"/>
    </w:p>
    <w:p w14:paraId="7BD4CE48">
      <w:pPr>
        <w:pStyle w:val="2"/>
        <w:spacing w:line="360" w:lineRule="auto"/>
        <w:rPr>
          <w:rFonts w:hint="eastAsia" w:asciiTheme="minorEastAsia" w:hAnsiTheme="minorEastAsia" w:eastAsiaTheme="minorEastAsia" w:cstheme="minorEastAsia"/>
          <w:b/>
          <w:szCs w:val="24"/>
        </w:rPr>
      </w:pPr>
      <w:bookmarkStart w:id="105" w:name="_Toc29624"/>
      <w:r>
        <w:rPr>
          <w:rFonts w:hint="eastAsia" w:asciiTheme="minorEastAsia" w:hAnsiTheme="minorEastAsia" w:eastAsiaTheme="minorEastAsia" w:cstheme="minorEastAsia"/>
          <w:b/>
          <w:szCs w:val="24"/>
        </w:rPr>
        <w:t>9.8 受冲突影响和高风险地区</w:t>
      </w:r>
      <w:bookmarkEnd w:id="105"/>
    </w:p>
    <w:p w14:paraId="2354BD0A">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为了避免助长武装冲突或侵犯人权行为，公司识别在受冲突影响和高风险地区的业务或直接供应商。针对这些业务或直接供应商，</w:t>
      </w:r>
      <w:r>
        <w:rPr>
          <w:rFonts w:hint="eastAsia" w:asciiTheme="minorEastAsia" w:hAnsiTheme="minorEastAsia" w:eastAsiaTheme="minorEastAsia" w:cstheme="minorEastAsia"/>
          <w:sz w:val="24"/>
          <w:lang w:val="en-US" w:eastAsia="zh-CN"/>
        </w:rPr>
        <w:t>采购科</w:t>
      </w:r>
      <w:r>
        <w:rPr>
          <w:rFonts w:hint="eastAsia" w:asciiTheme="minorEastAsia" w:hAnsiTheme="minorEastAsia" w:eastAsiaTheme="minorEastAsia" w:cstheme="minorEastAsia"/>
          <w:sz w:val="24"/>
        </w:rPr>
        <w:t>应根据OCED《经济合作与发展组织关于来自受冲突影响和高风险区域的矿石的负责任供应链尽职调查指南》(经合组织指南) ，以适合其规模和情况的方式，对铝供应链进行基于风险的尽职调查，公司保证不助长武装冲突或侵犯人权。包括至少:</w:t>
      </w:r>
    </w:p>
    <w:p w14:paraId="6051F0F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9.8.1</w:t>
      </w:r>
      <w:r>
        <w:rPr>
          <w:rFonts w:hint="eastAsia" w:asciiTheme="minorEastAsia" w:hAnsiTheme="minorEastAsia" w:eastAsiaTheme="minorEastAsia" w:cstheme="minorEastAsia"/>
          <w:sz w:val="24"/>
        </w:rPr>
        <w:t>建立强有力的管理系统，包括供应链方针、责任和资源、信息收集和供应商参与。</w:t>
      </w:r>
    </w:p>
    <w:p w14:paraId="429711B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9.8.2</w:t>
      </w:r>
      <w:r>
        <w:rPr>
          <w:rFonts w:hint="eastAsia" w:asciiTheme="minorEastAsia" w:hAnsiTheme="minorEastAsia" w:eastAsiaTheme="minorEastAsia" w:cstheme="minorEastAsia"/>
          <w:sz w:val="24"/>
        </w:rPr>
        <w:t>识别和评估供应链中的风险。</w:t>
      </w:r>
    </w:p>
    <w:p w14:paraId="388FAAB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9.8.3</w:t>
      </w:r>
      <w:r>
        <w:rPr>
          <w:rFonts w:hint="eastAsia" w:asciiTheme="minorEastAsia" w:hAnsiTheme="minorEastAsia" w:eastAsiaTheme="minorEastAsia" w:cstheme="minorEastAsia"/>
          <w:sz w:val="24"/>
        </w:rPr>
        <w:t>设计和实施应对已识别风险的策略。</w:t>
      </w:r>
    </w:p>
    <w:p w14:paraId="7A9422E3">
      <w:pPr>
        <w:spacing w:line="360" w:lineRule="auto"/>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val="en-US" w:eastAsia="zh-CN"/>
        </w:rPr>
        <w:t>9.8.4</w:t>
      </w:r>
      <w:r>
        <w:rPr>
          <w:rFonts w:hint="eastAsia" w:asciiTheme="minorEastAsia" w:hAnsiTheme="minorEastAsia" w:eastAsiaTheme="minorEastAsia" w:cstheme="minorEastAsia"/>
          <w:sz w:val="24"/>
        </w:rPr>
        <w:t>对尽职调查做法进行审核</w:t>
      </w:r>
      <w:r>
        <w:rPr>
          <w:rFonts w:hint="eastAsia" w:asciiTheme="minorEastAsia" w:hAnsiTheme="minorEastAsia" w:eastAsiaTheme="minorEastAsia" w:cstheme="minorEastAsia"/>
          <w:sz w:val="24"/>
          <w:lang w:eastAsia="zh-CN"/>
        </w:rPr>
        <w:t>。</w:t>
      </w:r>
    </w:p>
    <w:p w14:paraId="078E8206">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9.8.5</w:t>
      </w:r>
      <w:r>
        <w:rPr>
          <w:rFonts w:hint="eastAsia" w:asciiTheme="minorEastAsia" w:hAnsiTheme="minorEastAsia" w:eastAsiaTheme="minorEastAsia" w:cstheme="minorEastAsia"/>
          <w:sz w:val="24"/>
        </w:rPr>
        <w:t>每年报告供应</w:t>
      </w:r>
      <w:r>
        <w:rPr>
          <w:rFonts w:hint="eastAsia" w:asciiTheme="minorEastAsia" w:hAnsiTheme="minorEastAsia" w:eastAsiaTheme="minorEastAsia" w:cstheme="minorEastAsia"/>
          <w:sz w:val="24"/>
          <w:lang w:val="en-US" w:eastAsia="zh-CN"/>
        </w:rPr>
        <w:t>商</w:t>
      </w:r>
      <w:r>
        <w:rPr>
          <w:rFonts w:hint="eastAsia" w:asciiTheme="minorEastAsia" w:hAnsiTheme="minorEastAsia" w:eastAsiaTheme="minorEastAsia" w:cstheme="minorEastAsia"/>
          <w:sz w:val="24"/>
        </w:rPr>
        <w:t>尽职调查。</w:t>
      </w:r>
    </w:p>
    <w:p w14:paraId="0079D71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5D3DE89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《尽职调查管理规定》</w:t>
      </w:r>
    </w:p>
    <w:p w14:paraId="6910FBDC">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采购和供应商管理控制程序</w:t>
      </w:r>
      <w:r>
        <w:rPr>
          <w:rFonts w:hint="eastAsia" w:asciiTheme="minorEastAsia" w:hAnsiTheme="minorEastAsia" w:eastAsiaTheme="minorEastAsia" w:cstheme="minorEastAsia"/>
          <w:sz w:val="24"/>
        </w:rPr>
        <w:t>》</w:t>
      </w:r>
    </w:p>
    <w:p w14:paraId="425CDC0C">
      <w:pPr>
        <w:pStyle w:val="2"/>
        <w:spacing w:line="360" w:lineRule="auto"/>
        <w:rPr>
          <w:rFonts w:hint="eastAsia" w:asciiTheme="minorEastAsia" w:hAnsiTheme="minorEastAsia" w:eastAsiaTheme="minorEastAsia" w:cstheme="minorEastAsia"/>
          <w:b/>
          <w:szCs w:val="24"/>
        </w:rPr>
      </w:pPr>
      <w:bookmarkStart w:id="106" w:name="_Toc13807"/>
      <w:r>
        <w:rPr>
          <w:rFonts w:hint="eastAsia" w:asciiTheme="minorEastAsia" w:hAnsiTheme="minorEastAsia" w:eastAsiaTheme="minorEastAsia" w:cstheme="minorEastAsia"/>
          <w:b/>
          <w:szCs w:val="24"/>
        </w:rPr>
        <w:t>9.9 安保实践</w:t>
      </w:r>
      <w:bookmarkEnd w:id="106"/>
    </w:p>
    <w:p w14:paraId="66C1BE54">
      <w:pPr>
        <w:spacing w:line="360" w:lineRule="auto"/>
        <w:ind w:firstLine="480" w:firstLineChars="200"/>
        <w:rPr>
          <w:rFonts w:eastAsiaTheme="minorEastAsia"/>
          <w:sz w:val="24"/>
        </w:rPr>
      </w:pPr>
      <w:r>
        <w:rPr>
          <w:rFonts w:eastAsiaTheme="minorEastAsia"/>
          <w:sz w:val="24"/>
        </w:rPr>
        <w:t>公司的安保服务以尊重人权为基本原则，按照安保服务规则提供服务。</w:t>
      </w:r>
      <w:r>
        <w:rPr>
          <w:rFonts w:hint="eastAsia" w:eastAsiaTheme="minorEastAsia"/>
          <w:sz w:val="24"/>
        </w:rPr>
        <w:t>对安保人员进行人权相关培训。</w:t>
      </w:r>
    </w:p>
    <w:p w14:paraId="259E70C7">
      <w:pPr>
        <w:spacing w:line="360" w:lineRule="auto"/>
        <w:rPr>
          <w:rFonts w:eastAsiaTheme="minorEastAsia"/>
          <w:sz w:val="24"/>
          <w:highlight w:val="none"/>
        </w:rPr>
      </w:pPr>
      <w:r>
        <w:rPr>
          <w:rFonts w:eastAsiaTheme="minorEastAsia"/>
          <w:sz w:val="24"/>
        </w:rPr>
        <w:t>本条支持文件：</w:t>
      </w:r>
    </w:p>
    <w:p w14:paraId="45BB3216">
      <w:pPr>
        <w:spacing w:line="360" w:lineRule="auto"/>
        <w:rPr>
          <w:rFonts w:hint="eastAsia" w:asciiTheme="minorEastAsia" w:hAnsiTheme="minorEastAsia" w:eastAsiaTheme="minorEastAsia" w:cstheme="minorEastAsia"/>
          <w:b w:val="0"/>
          <w:bCs w:val="0"/>
          <w:sz w:val="24"/>
          <w:szCs w:val="24"/>
          <w:highlight w:val="none"/>
        </w:rPr>
      </w:pPr>
      <w:commentRangeStart w:id="5"/>
      <w:r>
        <w:rPr>
          <w:rFonts w:hint="eastAsia" w:asciiTheme="minorEastAsia" w:hAnsiTheme="minorEastAsia" w:eastAsiaTheme="minorEastAsia" w:cstheme="minorEastAsia"/>
          <w:b w:val="0"/>
          <w:bCs w:val="0"/>
          <w:sz w:val="24"/>
          <w:szCs w:val="24"/>
          <w:highlight w:val="none"/>
          <w:lang w:eastAsia="zh-CN"/>
        </w:rPr>
        <w:t>《</w:t>
      </w:r>
      <w:r>
        <w:rPr>
          <w:rFonts w:hint="eastAsia" w:asciiTheme="minorEastAsia" w:hAnsiTheme="minorEastAsia" w:eastAsiaTheme="minorEastAsia" w:cstheme="minorEastAsia"/>
          <w:b w:val="0"/>
          <w:bCs w:val="0"/>
          <w:kern w:val="0"/>
          <w:sz w:val="24"/>
          <w:szCs w:val="24"/>
          <w:highlight w:val="none"/>
        </w:rPr>
        <w:t>警卫班作业标准书</w:t>
      </w:r>
      <w:r>
        <w:rPr>
          <w:rFonts w:hint="eastAsia" w:asciiTheme="minorEastAsia" w:hAnsiTheme="minorEastAsia" w:eastAsiaTheme="minorEastAsia" w:cstheme="minorEastAsia"/>
          <w:b w:val="0"/>
          <w:bCs w:val="0"/>
          <w:sz w:val="24"/>
          <w:szCs w:val="24"/>
          <w:highlight w:val="none"/>
          <w:lang w:eastAsia="zh-CN"/>
        </w:rPr>
        <w:t>》</w:t>
      </w:r>
      <w:commentRangeEnd w:id="5"/>
      <w:r>
        <w:rPr>
          <w:rFonts w:hint="eastAsia" w:asciiTheme="minorEastAsia" w:hAnsiTheme="minorEastAsia" w:eastAsiaTheme="minorEastAsia" w:cstheme="minorEastAsia"/>
          <w:b w:val="0"/>
          <w:bCs w:val="0"/>
          <w:sz w:val="24"/>
          <w:szCs w:val="24"/>
          <w:highlight w:val="none"/>
        </w:rPr>
        <w:commentReference w:id="5"/>
      </w:r>
    </w:p>
    <w:p w14:paraId="0369AF41">
      <w:pPr>
        <w:spacing w:line="360" w:lineRule="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《安保人员尊重人权承诺书》</w:t>
      </w:r>
    </w:p>
    <w:p w14:paraId="5E19112E">
      <w:pPr>
        <w:widowControl/>
        <w:spacing w:line="360" w:lineRule="auto"/>
        <w:jc w:val="left"/>
        <w:rPr>
          <w:rFonts w:ascii="Times New Roman" w:hAnsi="Times New Roman" w:cs="Times New Roman" w:eastAsiaTheme="minorEastAsia"/>
          <w:b/>
          <w:bCs/>
          <w:sz w:val="36"/>
          <w:szCs w:val="24"/>
        </w:rPr>
      </w:pPr>
    </w:p>
    <w:p w14:paraId="5022FAE1">
      <w:pPr>
        <w:widowControl/>
        <w:spacing w:line="360" w:lineRule="auto"/>
        <w:ind w:firstLine="3614" w:firstLineChars="1000"/>
        <w:jc w:val="left"/>
        <w:rPr>
          <w:rFonts w:ascii="Times New Roman" w:hAnsi="Times New Roman" w:cs="Times New Roman" w:eastAsiaTheme="minorEastAsia"/>
          <w:b/>
          <w:bCs/>
          <w:sz w:val="36"/>
          <w:szCs w:val="24"/>
        </w:rPr>
      </w:pPr>
    </w:p>
    <w:p w14:paraId="2E9BC1CA">
      <w:pPr>
        <w:widowControl/>
        <w:spacing w:line="360" w:lineRule="auto"/>
        <w:ind w:firstLine="3001" w:firstLineChars="1000"/>
        <w:jc w:val="left"/>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10 劳工权益</w:t>
      </w:r>
    </w:p>
    <w:p w14:paraId="28661D34">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原则：实体应按照国际劳工组织(ILO)核心公约或其他相关ILO公约，维护体面工作和员工人权，并尊重员工，维护其尊严。</w:t>
      </w:r>
    </w:p>
    <w:p w14:paraId="53729440">
      <w:pPr>
        <w:pStyle w:val="2"/>
        <w:spacing w:line="360" w:lineRule="auto"/>
        <w:rPr>
          <w:rFonts w:hint="eastAsia" w:asciiTheme="minorEastAsia" w:hAnsiTheme="minorEastAsia" w:eastAsiaTheme="minorEastAsia" w:cstheme="minorEastAsia"/>
          <w:b/>
          <w:szCs w:val="24"/>
        </w:rPr>
      </w:pPr>
      <w:bookmarkStart w:id="107" w:name="_Toc25320"/>
      <w:r>
        <w:rPr>
          <w:rFonts w:hint="eastAsia" w:asciiTheme="minorEastAsia" w:hAnsiTheme="minorEastAsia" w:eastAsiaTheme="minorEastAsia" w:cstheme="minorEastAsia"/>
          <w:b/>
          <w:szCs w:val="24"/>
        </w:rPr>
        <w:t>10.1 结社自由与集体谈判权</w:t>
      </w:r>
      <w:bookmarkEnd w:id="107"/>
    </w:p>
    <w:p w14:paraId="6DAE2D3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10.1.1公司所有人员有权自由组建、参加和组织工会，并代表他们自己和公司进行集体谈判。公司将尊重这项权利，并告知员工可以自由加入所选择的组织。员工不会因此而有任何不良后果或受到公司的报复。公司不会以任何方式介入员工组织或集体谈判的建立、运行或管理。公司保证参加员工组织的人员及员工代表不会因为工会成员或参与工会活动而歧视、骚扰、胁迫或报复，员工代表可在工作地点与其所代表的员工保持接触。</w:t>
      </w:r>
    </w:p>
    <w:p w14:paraId="4E09B29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10.1.2公司允许员工自由选择自己的员工代表。公司可以协助各部门选举出自已的员工代表，由员工代表负责监管及向管理层提出有关安全卫生、福利及ASI社会管理问题。</w:t>
      </w:r>
    </w:p>
    <w:p w14:paraId="2442467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3A3FCEFB">
      <w:pPr>
        <w:pStyle w:val="2"/>
        <w:spacing w:line="360" w:lineRule="auto"/>
        <w:rPr>
          <w:rFonts w:hint="eastAsia" w:asciiTheme="minorEastAsia" w:hAnsiTheme="minorEastAsia" w:eastAsiaTheme="minorEastAsia" w:cstheme="minorEastAsia"/>
          <w:sz w:val="24"/>
          <w:highlight w:val="none"/>
        </w:rPr>
      </w:pPr>
      <w:bookmarkStart w:id="108" w:name="_Toc18320"/>
      <w:r>
        <w:rPr>
          <w:rFonts w:hint="eastAsia" w:asciiTheme="minorEastAsia" w:hAnsiTheme="minorEastAsia" w:eastAsiaTheme="minorEastAsia" w:cstheme="minorEastAsia"/>
          <w:sz w:val="24"/>
          <w:szCs w:val="24"/>
          <w:highlight w:val="none"/>
        </w:rPr>
        <w:t>《结社自由和集体谈判权利</w:t>
      </w:r>
      <w:r>
        <w:rPr>
          <w:rFonts w:hint="eastAsia" w:asciiTheme="minorEastAsia" w:hAnsiTheme="minorEastAsia" w:eastAsiaTheme="minorEastAsia" w:cstheme="minorEastAsia"/>
          <w:sz w:val="24"/>
          <w:szCs w:val="24"/>
          <w:highlight w:val="none"/>
          <w:lang w:val="en-US" w:eastAsia="zh-CN"/>
        </w:rPr>
        <w:t>控制程序</w:t>
      </w:r>
      <w:r>
        <w:rPr>
          <w:rFonts w:hint="eastAsia" w:asciiTheme="minorEastAsia" w:hAnsiTheme="minorEastAsia" w:eastAsiaTheme="minorEastAsia" w:cstheme="minorEastAsia"/>
          <w:sz w:val="24"/>
          <w:szCs w:val="24"/>
          <w:highlight w:val="none"/>
        </w:rPr>
        <w:t>》</w:t>
      </w:r>
      <w:bookmarkEnd w:id="108"/>
    </w:p>
    <w:p w14:paraId="6109EEA4">
      <w:pPr>
        <w:pStyle w:val="2"/>
        <w:spacing w:line="360" w:lineRule="auto"/>
        <w:rPr>
          <w:rFonts w:hint="eastAsia" w:asciiTheme="minorEastAsia" w:hAnsiTheme="minorEastAsia" w:eastAsiaTheme="minorEastAsia" w:cstheme="minorEastAsia"/>
          <w:b/>
          <w:szCs w:val="24"/>
        </w:rPr>
      </w:pPr>
      <w:bookmarkStart w:id="109" w:name="_Toc17293"/>
      <w:r>
        <w:rPr>
          <w:rFonts w:hint="eastAsia" w:asciiTheme="minorEastAsia" w:hAnsiTheme="minorEastAsia" w:eastAsiaTheme="minorEastAsia" w:cstheme="minorEastAsia"/>
          <w:b/>
          <w:szCs w:val="24"/>
        </w:rPr>
        <w:t>10.2  童工</w:t>
      </w:r>
      <w:bookmarkEnd w:id="109"/>
    </w:p>
    <w:p w14:paraId="5514F746">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10.2.1公司建立健全的年龄验证机制作为招聘程序的一部分，不直接或间接雇用低于16岁以下的童工，一旦发现因错漏而雇佣了童工，立即启动童工补救程序，协助童工继续接受9年制义务教育，直到年满16周岁为止。适当时，必须尽可能为受影响儿童家庭的成年家庭成员提供参与体面劳动的机会。</w:t>
      </w:r>
    </w:p>
    <w:p w14:paraId="205F0F46">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10.2.2尊重未成年劳工的意愿,帮助其联络学校或提供夜校，使其继续接受教育，学习期间，公司根据未成年工的健康检查结果安排其从事适合的劳动，对不能胜任原劳动岗位的，应根据医务部门的证明，予以减轻劳动量或安排其它工作，为了保障未成年工的身心健康，公司将严格按照国家及本地未成年工加班和夜班法律进行安排和管理，不对未成年工安排夜班和加班。</w:t>
      </w:r>
    </w:p>
    <w:p w14:paraId="79D9B7E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10.2.3管理部识别公司未成年工的禁忌岗位，公司保证未成年劳工在安全卫生的环境下工作。</w:t>
      </w:r>
    </w:p>
    <w:p w14:paraId="301ED4D0">
      <w:pPr>
        <w:spacing w:line="360" w:lineRule="auto"/>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本条支持文件：</w:t>
      </w:r>
    </w:p>
    <w:p w14:paraId="3E37ABE5">
      <w:pPr>
        <w:spacing w:line="360" w:lineRule="auto"/>
        <w:rPr>
          <w:rFonts w:hint="eastAsia" w:eastAsiaTheme="minorEastAsia"/>
          <w:sz w:val="24"/>
          <w:szCs w:val="24"/>
          <w:highlight w:val="none"/>
        </w:rPr>
      </w:pPr>
      <w:r>
        <w:rPr>
          <w:rFonts w:hint="eastAsia" w:asciiTheme="minorEastAsia" w:hAnsiTheme="minorEastAsia" w:eastAsiaTheme="minorEastAsia" w:cstheme="minorEastAsia"/>
          <w:sz w:val="24"/>
          <w:highlight w:val="none"/>
        </w:rPr>
        <w:t>《童工和未成年工保护制度》</w:t>
      </w:r>
    </w:p>
    <w:p w14:paraId="29D70582">
      <w:pPr>
        <w:pStyle w:val="2"/>
        <w:spacing w:line="360" w:lineRule="auto"/>
        <w:rPr>
          <w:rFonts w:hint="eastAsia" w:asciiTheme="majorEastAsia" w:hAnsiTheme="majorEastAsia" w:eastAsiaTheme="majorEastAsia" w:cstheme="majorEastAsia"/>
          <w:b/>
          <w:szCs w:val="24"/>
        </w:rPr>
      </w:pPr>
      <w:bookmarkStart w:id="110" w:name="_Toc19365"/>
      <w:r>
        <w:rPr>
          <w:rFonts w:hint="eastAsia" w:asciiTheme="majorEastAsia" w:hAnsiTheme="majorEastAsia" w:eastAsiaTheme="majorEastAsia" w:cstheme="majorEastAsia"/>
          <w:b/>
          <w:szCs w:val="24"/>
        </w:rPr>
        <w:t>10.3 强迫劳动</w:t>
      </w:r>
      <w:bookmarkEnd w:id="110"/>
    </w:p>
    <w:p w14:paraId="38FB0CD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10.3.1管理部按照《人力资源控制程序》招聘合适的员工，绝不直接或通过任何就业或招聘机构参与或支持人口贩运。</w:t>
      </w:r>
    </w:p>
    <w:p w14:paraId="1227776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10.3.2管理部招聘的时候绝不向员工索要任何形式的存款、征聘费或设备，也绝不在任何时间要求外来务工员工提供押金和保证金。管理部可以要求员工提供证件的复印件，包括但不限于身份证、工作许可证、旅行证件或培训证书，也会有机会要求员工入职时提供原件以便验证，但是绝不保留员工证件的原件。</w:t>
      </w:r>
    </w:p>
    <w:p w14:paraId="0F1D981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10.3.3 公司不对员工实行债务质役或强迫他们以偿还债务。</w:t>
      </w:r>
    </w:p>
    <w:p w14:paraId="7D5FAD99">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10.3.4 公司允许员工在工作场所或现场住房内自由行动。</w:t>
      </w:r>
    </w:p>
    <w:p w14:paraId="5A93B639">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10.3.5 公司允许员工在合理时间内通报并终止雇佣，并保证不会因要求终止雇佣处罚员工。</w:t>
      </w:r>
    </w:p>
    <w:p w14:paraId="5C017DA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10.3.6管理部每年公开披露现代奴隶制声明，详细说明为解决现代奴隶制所采取的行动。</w:t>
      </w:r>
    </w:p>
    <w:p w14:paraId="6FC29B6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本条支持文件：</w:t>
      </w:r>
    </w:p>
    <w:p w14:paraId="17D15B99">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《人力资源控制程序》</w:t>
      </w:r>
    </w:p>
    <w:p w14:paraId="78CA3CD7">
      <w:pPr>
        <w:pStyle w:val="2"/>
        <w:spacing w:line="360" w:lineRule="auto"/>
        <w:rPr>
          <w:rFonts w:hint="eastAsia" w:asciiTheme="minorEastAsia" w:hAnsiTheme="minorEastAsia" w:eastAsiaTheme="minorEastAsia" w:cstheme="minorEastAsia"/>
          <w:sz w:val="24"/>
          <w:szCs w:val="24"/>
        </w:rPr>
      </w:pPr>
      <w:bookmarkStart w:id="111" w:name="_Toc4451"/>
      <w:r>
        <w:rPr>
          <w:rFonts w:hint="eastAsia" w:asciiTheme="minorEastAsia" w:hAnsiTheme="minorEastAsia" w:eastAsiaTheme="minorEastAsia" w:cstheme="minorEastAsia"/>
          <w:sz w:val="24"/>
          <w:szCs w:val="24"/>
        </w:rPr>
        <w:t>《禁止强迫劳动管理规定》</w:t>
      </w:r>
      <w:bookmarkEnd w:id="111"/>
    </w:p>
    <w:p w14:paraId="64450650">
      <w:pPr>
        <w:rPr>
          <w:rFonts w:hint="eastAsia" w:eastAsiaTheme="minorEastAsia"/>
          <w:lang w:eastAsia="zh-CN"/>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rPr>
        <w:t>现代奴隶制</w:t>
      </w:r>
      <w:r>
        <w:rPr>
          <w:rFonts w:hint="eastAsia" w:asciiTheme="minorEastAsia" w:hAnsiTheme="minorEastAsia" w:eastAsiaTheme="minorEastAsia" w:cstheme="minorEastAsia"/>
          <w:sz w:val="24"/>
          <w:lang w:val="en-US" w:eastAsia="zh-CN"/>
        </w:rPr>
        <w:t>声明</w:t>
      </w:r>
      <w:bookmarkStart w:id="141" w:name="_GoBack"/>
      <w:bookmarkEnd w:id="141"/>
      <w:r>
        <w:rPr>
          <w:rFonts w:hint="eastAsia" w:asciiTheme="minorEastAsia" w:hAnsiTheme="minorEastAsia" w:eastAsiaTheme="minorEastAsia" w:cstheme="minorEastAsia"/>
          <w:sz w:val="24"/>
          <w:szCs w:val="24"/>
          <w:lang w:eastAsia="zh-CN"/>
        </w:rPr>
        <w:t>》</w:t>
      </w:r>
    </w:p>
    <w:p w14:paraId="5EAD0608">
      <w:pPr>
        <w:pStyle w:val="2"/>
        <w:spacing w:line="360" w:lineRule="auto"/>
        <w:rPr>
          <w:rFonts w:hint="eastAsia" w:asciiTheme="minorEastAsia" w:hAnsiTheme="minorEastAsia" w:eastAsiaTheme="minorEastAsia" w:cstheme="minorEastAsia"/>
          <w:b/>
          <w:szCs w:val="24"/>
        </w:rPr>
      </w:pPr>
      <w:bookmarkStart w:id="112" w:name="_Toc28557"/>
      <w:r>
        <w:rPr>
          <w:rFonts w:hint="eastAsia" w:asciiTheme="minorEastAsia" w:hAnsiTheme="minorEastAsia" w:eastAsiaTheme="minorEastAsia" w:cstheme="minorEastAsia"/>
          <w:b/>
          <w:szCs w:val="24"/>
        </w:rPr>
        <w:t>10.4 非歧视</w:t>
      </w:r>
      <w:bookmarkEnd w:id="112"/>
    </w:p>
    <w:p w14:paraId="3BB6111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10.4.1 在涉及聘用、报酬、培训机会、升迁、解职或退休等事项上，公司不会从事或支持基于性别、种族、国籍或社会出身、种姓、宗教、残疾、政治面目、性取向、婚姻状况、家庭责任、年龄或任何其他可能引起歧视的情况而解雇任何工人。</w:t>
      </w:r>
    </w:p>
    <w:p w14:paraId="1495491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10.4.2 公司不会干涉员工行使遵奉信仰和风俗的权利，或为满足涉及种族,民族或社会出身,社会阶层、血统、宗教、残疾、性别、性取向、家庭责任、婚姻状况、工会会员、政见或任何其他可引起歧视的需要。</w:t>
      </w:r>
    </w:p>
    <w:p w14:paraId="3E20D3D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10.4.3 公司禁止在任何情况下要求员工做怀孕或童贞测试。</w:t>
      </w:r>
    </w:p>
    <w:p w14:paraId="0C6C921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10.4.4 当员工遭受到歧视时，可投函意见箱，或向公司管理者代表或员工代表反映或投诉，由其组织调查后，并回复投诉人。</w:t>
      </w:r>
    </w:p>
    <w:p w14:paraId="2B23DF0D">
      <w:pPr>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018CFD58">
      <w:pPr>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《禁止歧视</w:t>
      </w:r>
      <w:r>
        <w:rPr>
          <w:rFonts w:hint="eastAsia" w:asciiTheme="minorEastAsia" w:hAnsiTheme="minorEastAsia" w:eastAsiaTheme="minorEastAsia" w:cstheme="minorEastAsia"/>
          <w:sz w:val="24"/>
          <w:lang w:val="en-US" w:eastAsia="zh-CN"/>
        </w:rPr>
        <w:t>和女工特殊保护管理制度</w:t>
      </w:r>
      <w:r>
        <w:rPr>
          <w:rFonts w:hint="eastAsia" w:asciiTheme="minorEastAsia" w:hAnsiTheme="minorEastAsia" w:eastAsiaTheme="minorEastAsia" w:cstheme="minorEastAsia"/>
          <w:sz w:val="24"/>
        </w:rPr>
        <w:t>》</w:t>
      </w:r>
    </w:p>
    <w:p w14:paraId="6BB5B59D">
      <w:pPr>
        <w:pStyle w:val="2"/>
        <w:spacing w:line="360" w:lineRule="auto"/>
        <w:rPr>
          <w:rFonts w:hint="eastAsia" w:asciiTheme="minorEastAsia" w:hAnsiTheme="minorEastAsia" w:eastAsiaTheme="minorEastAsia" w:cstheme="minorEastAsia"/>
          <w:b/>
          <w:szCs w:val="24"/>
        </w:rPr>
      </w:pPr>
      <w:bookmarkStart w:id="113" w:name="_Toc10895"/>
      <w:r>
        <w:rPr>
          <w:rFonts w:hint="eastAsia" w:asciiTheme="minorEastAsia" w:hAnsiTheme="minorEastAsia" w:eastAsiaTheme="minorEastAsia" w:cstheme="minorEastAsia"/>
          <w:b/>
          <w:szCs w:val="24"/>
        </w:rPr>
        <w:t>10.5 沟通与参与</w:t>
      </w:r>
      <w:bookmarkEnd w:id="113"/>
    </w:p>
    <w:p w14:paraId="7F63CE6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10.5.1公司确保与员工及其代表就工作条件和解决工作场所及报酬问题进行公开沟通和直接接触，而不会受到报复、恐吓或骚扰等威胁。</w:t>
      </w:r>
    </w:p>
    <w:p w14:paraId="35054BE9">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10.5.2当员工及其员工代表遭受到报复、恐吓或骚扰等威胁时，可投函意见箱，或向公司管理者代表提出反映或投诉，由其组织调查后，并回复投诉人。</w:t>
      </w:r>
    </w:p>
    <w:p w14:paraId="273DF77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2C9E0C95">
      <w:pPr>
        <w:spacing w:line="360" w:lineRule="auto"/>
        <w:rPr>
          <w:rFonts w:hint="eastAsia" w:asciiTheme="minorEastAsia" w:hAnsiTheme="minorEastAsia" w:eastAsiaTheme="minorEastAsia" w:cstheme="minorEastAsia"/>
          <w:sz w:val="24"/>
        </w:rPr>
      </w:pPr>
      <w:commentRangeStart w:id="6"/>
      <w:r>
        <w:rPr>
          <w:rFonts w:hint="eastAsia" w:asciiTheme="minorEastAsia" w:hAnsiTheme="minorEastAsia" w:eastAsiaTheme="minorEastAsia" w:cstheme="minorEastAsia"/>
          <w:sz w:val="24"/>
        </w:rPr>
        <w:t>《利益相关方沟通一览表》</w:t>
      </w:r>
      <w:commentRangeEnd w:id="6"/>
      <w:r>
        <w:commentReference w:id="6"/>
      </w:r>
    </w:p>
    <w:p w14:paraId="18DFC867">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内外部沟通管理规定</w:t>
      </w:r>
      <w:r>
        <w:rPr>
          <w:rFonts w:hint="eastAsia" w:asciiTheme="minorEastAsia" w:hAnsiTheme="minorEastAsia" w:eastAsiaTheme="minorEastAsia" w:cstheme="minorEastAsia"/>
          <w:sz w:val="24"/>
        </w:rPr>
        <w:t>》</w:t>
      </w:r>
    </w:p>
    <w:p w14:paraId="46556FE5">
      <w:pPr>
        <w:pStyle w:val="2"/>
        <w:spacing w:line="360" w:lineRule="auto"/>
        <w:rPr>
          <w:rFonts w:hint="eastAsia" w:asciiTheme="minorEastAsia" w:hAnsiTheme="minorEastAsia" w:eastAsiaTheme="minorEastAsia" w:cstheme="minorEastAsia"/>
          <w:b/>
          <w:szCs w:val="24"/>
        </w:rPr>
      </w:pPr>
      <w:bookmarkStart w:id="114" w:name="_Toc3575"/>
      <w:r>
        <w:rPr>
          <w:rFonts w:hint="eastAsia" w:asciiTheme="minorEastAsia" w:hAnsiTheme="minorEastAsia" w:eastAsiaTheme="minorEastAsia" w:cstheme="minorEastAsia"/>
          <w:b/>
          <w:szCs w:val="24"/>
        </w:rPr>
        <w:t>10.6暴力和骚扰</w:t>
      </w:r>
      <w:bookmarkEnd w:id="114"/>
    </w:p>
    <w:p w14:paraId="56B26DC5">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绝不允许任何威胁、虐待、剥削的行为及强迫性的性侵扰行为，包括姿势、语言和身体的接触（如：搜身等）。如发现有这样的情况，可投函意见箱，或向公司管理者代表反映或投诉，由其组织调查后，并回复投诉人。</w:t>
      </w:r>
    </w:p>
    <w:p w14:paraId="385424F6">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10.6.1</w:t>
      </w:r>
      <w:r>
        <w:rPr>
          <w:rFonts w:hint="eastAsia" w:asciiTheme="minorEastAsia" w:hAnsiTheme="minorEastAsia" w:eastAsiaTheme="minorEastAsia" w:cstheme="minorEastAsia"/>
          <w:sz w:val="24"/>
        </w:rPr>
        <w:t>与员工及其代表磋商，实行关于在工作场所杜绝暴力和骚扰的方针。</w:t>
      </w:r>
    </w:p>
    <w:p w14:paraId="0F1AC703">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10.6.2</w:t>
      </w:r>
      <w:r>
        <w:rPr>
          <w:rFonts w:hint="eastAsia" w:asciiTheme="minorEastAsia" w:hAnsiTheme="minorEastAsia" w:eastAsiaTheme="minorEastAsia" w:cstheme="minorEastAsia"/>
          <w:sz w:val="24"/>
        </w:rPr>
        <w:t>至少每五年对方针进行一次复审。</w:t>
      </w:r>
    </w:p>
    <w:p w14:paraId="1151892C">
      <w:pPr>
        <w:autoSpaceDE w:val="0"/>
        <w:autoSpaceDN w:val="0"/>
        <w:adjustRightInd w:val="0"/>
        <w:spacing w:line="360" w:lineRule="auto"/>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10.6.3</w:t>
      </w:r>
      <w:r>
        <w:rPr>
          <w:rFonts w:hint="eastAsia" w:asciiTheme="minorEastAsia" w:hAnsiTheme="minorEastAsia" w:eastAsiaTheme="minorEastAsia" w:cstheme="minorEastAsia"/>
          <w:sz w:val="24"/>
        </w:rPr>
        <w:t>在企业有任何变动，并导致暴力和骚扰风险发生实质性变化时，对方针进行审查。</w:t>
      </w:r>
    </w:p>
    <w:p w14:paraId="64E9FE51">
      <w:pPr>
        <w:spacing w:line="360" w:lineRule="auto"/>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sz w:val="24"/>
          <w:lang w:val="en-US" w:eastAsia="zh-CN"/>
        </w:rPr>
        <w:t>10.6.4</w:t>
      </w:r>
      <w:r>
        <w:rPr>
          <w:rFonts w:hint="eastAsia" w:asciiTheme="minorEastAsia" w:hAnsiTheme="minorEastAsia" w:eastAsiaTheme="minorEastAsia" w:cstheme="minorEastAsia"/>
          <w:sz w:val="24"/>
        </w:rPr>
        <w:t>在出现</w:t>
      </w:r>
      <w:r>
        <w:rPr>
          <w:rFonts w:hint="eastAsia" w:asciiTheme="minorEastAsia" w:hAnsiTheme="minorEastAsia" w:eastAsiaTheme="minorEastAsia" w:cstheme="minorEastAsia"/>
          <w:kern w:val="0"/>
          <w:sz w:val="24"/>
        </w:rPr>
        <w:t>控制缺陷迹象时，要对方针进行审查。</w:t>
      </w:r>
    </w:p>
    <w:p w14:paraId="1AC0A20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5C17CA12">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暴力和骚扰</w:t>
      </w:r>
      <w:r>
        <w:rPr>
          <w:rFonts w:hint="eastAsia" w:asciiTheme="minorEastAsia" w:hAnsiTheme="minorEastAsia" w:eastAsiaTheme="minorEastAsia" w:cstheme="minorEastAsia"/>
          <w:sz w:val="24"/>
        </w:rPr>
        <w:t>管理规定》</w:t>
      </w:r>
    </w:p>
    <w:p w14:paraId="1F6BDC29">
      <w:pPr>
        <w:pStyle w:val="2"/>
        <w:spacing w:line="360" w:lineRule="auto"/>
        <w:rPr>
          <w:rFonts w:hint="eastAsia" w:asciiTheme="minorEastAsia" w:hAnsiTheme="minorEastAsia" w:eastAsiaTheme="minorEastAsia" w:cstheme="minorEastAsia"/>
          <w:b/>
          <w:szCs w:val="24"/>
        </w:rPr>
      </w:pPr>
      <w:bookmarkStart w:id="115" w:name="_Toc10148"/>
      <w:r>
        <w:rPr>
          <w:rFonts w:hint="eastAsia" w:asciiTheme="minorEastAsia" w:hAnsiTheme="minorEastAsia" w:eastAsiaTheme="minorEastAsia" w:cstheme="minorEastAsia"/>
          <w:b/>
          <w:szCs w:val="24"/>
        </w:rPr>
        <w:t>10.7报酬</w:t>
      </w:r>
      <w:bookmarkEnd w:id="115"/>
    </w:p>
    <w:p w14:paraId="53677D2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10.7.1劳动合同</w:t>
      </w:r>
    </w:p>
    <w:p w14:paraId="1C30D2A9">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1）公司雇佣员工时，与员工签订劳动合同，每个岗位均有《岗位说明书》，确保员工有书面的文件，以他们能理解的语言和格式来描述雇佣条款和条件。</w:t>
      </w:r>
    </w:p>
    <w:p w14:paraId="2B9FCFB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公司保证不采取纯劳务合同安排，连续的短期合约或虚假的学徒工制度以规避涉及劳动和社会保障条例的适用法律所规定的对员工应尽的义务。（如：采用暑假工、临时工等，而未足额支付员工工资、购买社保等）</w:t>
      </w:r>
    </w:p>
    <w:p w14:paraId="3A6B5A3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10.7.2薪资</w:t>
      </w:r>
    </w:p>
    <w:p w14:paraId="3BBBAB5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1）公司每月发放工资一次，订制支付员工的标准工资绝不少于当地政府规定的最低标准，同时员工所得的工资足以满足员工的基本需要，以及提供一些可随意支配的收入。</w:t>
      </w:r>
    </w:p>
    <w:p w14:paraId="3A027BC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2）公司会确保在每个支薪期清楚详细地定期以书面形式列明工资、待遇构成；公司还保证工资、待遇与所有适用法律完全相符。工资、待遇会以方便员工的形式支付。及时以法定货币支付工资，并提供完整的文件记录。 </w:t>
      </w:r>
    </w:p>
    <w:p w14:paraId="2F3EB54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3）公司不会为了惩戒的目的而不合理地扣减工资，除非符合以下条件：</w:t>
      </w:r>
    </w:p>
    <w:p w14:paraId="13BC3B88">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a. 这种出于惩戒扣减工资得到国家相关法律许可；</w:t>
      </w:r>
    </w:p>
    <w:p w14:paraId="37449DBC">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b. 这种出于惩戒扣减工资获得自由集体谈判的同意，并保留有书面的记录。</w:t>
      </w:r>
    </w:p>
    <w:p w14:paraId="56BB259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10.7.3加班</w:t>
      </w:r>
    </w:p>
    <w:p w14:paraId="7AF90E3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1）公司员工所有加班按照国家规定（劳动法）支付加班津贴。</w:t>
      </w:r>
    </w:p>
    <w:p w14:paraId="61B3F1CC">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2）对每周工作时间超过40小时的工作应加付至少25% 的费用。但集体协议、受薪员工或延长工作班次的情况除外，在这种情况下，工作时间可在一定时期内平均计算。</w:t>
      </w:r>
    </w:p>
    <w:p w14:paraId="70102FF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17AFF1CA">
      <w:pPr>
        <w:spacing w:line="360" w:lineRule="auto"/>
        <w:rPr>
          <w:rFonts w:hint="eastAsia" w:asciiTheme="minorEastAsia" w:hAnsiTheme="minorEastAsia" w:eastAsiaTheme="minorEastAsia" w:cstheme="minorEastAsia"/>
          <w:sz w:val="24"/>
          <w:szCs w:val="24"/>
          <w:highlight w:val="none"/>
        </w:rPr>
      </w:pPr>
      <w:commentRangeStart w:id="7"/>
      <w:r>
        <w:rPr>
          <w:rFonts w:hint="eastAsia" w:asciiTheme="minorEastAsia" w:hAnsiTheme="minorEastAsia" w:eastAsiaTheme="minorEastAsia" w:cstheme="minorEastAsia"/>
          <w:sz w:val="24"/>
          <w:highlight w:val="none"/>
        </w:rPr>
        <w:t>《立中合金集团薪酬管理制度》</w:t>
      </w:r>
      <w:commentRangeEnd w:id="7"/>
      <w:r>
        <w:rPr>
          <w:highlight w:val="none"/>
        </w:rPr>
        <w:commentReference w:id="7"/>
      </w:r>
    </w:p>
    <w:p w14:paraId="6EDA4DD3">
      <w:pPr>
        <w:pStyle w:val="2"/>
        <w:spacing w:line="360" w:lineRule="auto"/>
        <w:rPr>
          <w:rFonts w:eastAsiaTheme="minorEastAsia"/>
          <w:b/>
          <w:szCs w:val="24"/>
        </w:rPr>
      </w:pPr>
      <w:bookmarkStart w:id="116" w:name="_Toc19295"/>
      <w:r>
        <w:rPr>
          <w:rFonts w:hint="eastAsia" w:asciiTheme="minorEastAsia" w:hAnsiTheme="minorEastAsia" w:eastAsiaTheme="minorEastAsia" w:cstheme="minorEastAsia"/>
          <w:b/>
          <w:szCs w:val="24"/>
        </w:rPr>
        <w:t>10.8 劳动时间</w:t>
      </w:r>
      <w:bookmarkEnd w:id="116"/>
      <w:r>
        <w:rPr>
          <w:rFonts w:eastAsiaTheme="minorEastAsia"/>
          <w:b/>
          <w:szCs w:val="24"/>
        </w:rPr>
        <w:t xml:space="preserve"> </w:t>
      </w:r>
    </w:p>
    <w:p w14:paraId="47E87C0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10.8.1公司遵守适用法律及行业标准有关工作时间和公共假期的规定。标准工作周（不含加班时间）根据法律规定，不得超过40小时。</w:t>
      </w:r>
    </w:p>
    <w:p w14:paraId="3CEC0E36">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10.8.2员工每连续工作六天至少须有一天休息。不过，在以下两种情况下允许有其他安排：</w:t>
      </w:r>
    </w:p>
    <w:p w14:paraId="46EA016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w:t>
      </w:r>
      <w:r>
        <w:rPr>
          <w:rFonts w:hint="eastAsia" w:asciiTheme="minorEastAsia" w:hAnsiTheme="minorEastAsia" w:eastAsiaTheme="minorEastAsia" w:cstheme="minorEastAsia"/>
          <w:sz w:val="24"/>
        </w:rPr>
        <w:t>国家法律允许加班时间超过该规定；</w:t>
      </w:r>
    </w:p>
    <w:p w14:paraId="1A440FA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存在一个有效得经过自由协商的集体谈判协议，允许平均工作时间涵盖了适当的休息时间。</w:t>
      </w:r>
    </w:p>
    <w:p w14:paraId="4019479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10.8.3公司所有加班均为自愿性质，每周加班时间不得超过12小时。在6个月的时间内，确保每天平均工作8小时。除非通过自由谈判达成集体协商协议，公司可以根据协议要求员工加班以满足短期业务需要。</w:t>
      </w:r>
    </w:p>
    <w:p w14:paraId="24DC687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10.8.4在特殊或短期的业务繁忙情况之下，征得当地劳动部门的同意后才要求员工超过法定加班时限工作，并确保员工自愿及不会因加班而影响他们的健康与安全，并依照有关规定支付员工应得的报酬。</w:t>
      </w:r>
    </w:p>
    <w:p w14:paraId="3FA99CE6">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本条支持文件：</w:t>
      </w:r>
    </w:p>
    <w:p w14:paraId="157E4DA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《工作时间</w:t>
      </w:r>
      <w:r>
        <w:rPr>
          <w:rFonts w:hint="eastAsia" w:asciiTheme="minorEastAsia" w:hAnsiTheme="minorEastAsia" w:eastAsiaTheme="minorEastAsia" w:cstheme="minorEastAsia"/>
          <w:sz w:val="24"/>
          <w:lang w:val="en-US" w:eastAsia="zh-CN"/>
        </w:rPr>
        <w:t>和加班</w:t>
      </w:r>
      <w:r>
        <w:rPr>
          <w:rFonts w:hint="eastAsia" w:asciiTheme="minorEastAsia" w:hAnsiTheme="minorEastAsia" w:eastAsiaTheme="minorEastAsia" w:cstheme="minorEastAsia"/>
          <w:sz w:val="24"/>
        </w:rPr>
        <w:t>管理规定》</w:t>
      </w:r>
    </w:p>
    <w:p w14:paraId="5F9ED448">
      <w:pPr>
        <w:pStyle w:val="2"/>
        <w:spacing w:line="360" w:lineRule="auto"/>
        <w:rPr>
          <w:rFonts w:hint="eastAsia" w:asciiTheme="minorEastAsia" w:hAnsiTheme="minorEastAsia" w:eastAsiaTheme="minorEastAsia" w:cstheme="minorEastAsia"/>
          <w:b/>
          <w:szCs w:val="24"/>
        </w:rPr>
      </w:pPr>
      <w:bookmarkStart w:id="117" w:name="_Toc6296"/>
      <w:r>
        <w:rPr>
          <w:rFonts w:hint="eastAsia" w:asciiTheme="minorEastAsia" w:hAnsiTheme="minorEastAsia" w:eastAsiaTheme="minorEastAsia" w:cstheme="minorEastAsia"/>
          <w:b/>
          <w:szCs w:val="24"/>
        </w:rPr>
        <w:t>10.9员工权利告知</w:t>
      </w:r>
      <w:bookmarkEnd w:id="117"/>
    </w:p>
    <w:p w14:paraId="7E03C860">
      <w:pPr>
        <w:spacing w:line="360" w:lineRule="auto"/>
        <w:rPr>
          <w:rFonts w:hint="eastAsia" w:eastAsiaTheme="minorEastAsia"/>
          <w:sz w:val="24"/>
        </w:rPr>
      </w:pPr>
      <w:r>
        <w:rPr>
          <w:rFonts w:hint="eastAsia" w:eastAsiaTheme="minorEastAsia"/>
          <w:sz w:val="24"/>
        </w:rPr>
        <w:t>公司应：</w:t>
      </w:r>
    </w:p>
    <w:p w14:paraId="6B42C5AA">
      <w:pPr>
        <w:spacing w:line="360" w:lineRule="auto"/>
        <w:rPr>
          <w:rFonts w:eastAsiaTheme="minorEastAsia"/>
          <w:sz w:val="24"/>
        </w:rPr>
      </w:pPr>
      <w:r>
        <w:rPr>
          <w:rFonts w:hint="eastAsia" w:eastAsiaTheme="minorEastAsia"/>
          <w:sz w:val="24"/>
          <w:lang w:val="en-US" w:eastAsia="zh-CN"/>
        </w:rPr>
        <w:t>10.9.1</w:t>
      </w:r>
      <w:r>
        <w:rPr>
          <w:rFonts w:hint="eastAsia" w:eastAsiaTheme="minorEastAsia"/>
          <w:sz w:val="24"/>
        </w:rPr>
        <w:t>向员工告知他们的权利，并且在这个标准准则下保护他们的权利。</w:t>
      </w:r>
    </w:p>
    <w:p w14:paraId="2974BD28">
      <w:pPr>
        <w:spacing w:line="360" w:lineRule="auto"/>
        <w:rPr>
          <w:rFonts w:eastAsiaTheme="minorEastAsia"/>
          <w:sz w:val="24"/>
        </w:rPr>
      </w:pPr>
      <w:r>
        <w:rPr>
          <w:rFonts w:hint="eastAsia" w:eastAsiaTheme="minorEastAsia"/>
          <w:sz w:val="24"/>
          <w:lang w:val="en-US" w:eastAsia="zh-CN"/>
        </w:rPr>
        <w:t>10.9.2</w:t>
      </w:r>
      <w:r>
        <w:rPr>
          <w:rFonts w:hint="eastAsia" w:eastAsiaTheme="minorEastAsia"/>
          <w:sz w:val="24"/>
        </w:rPr>
        <w:t>如果结社和集体协商自由受到适用法律的限制，则期待实体能向员工通报第</w:t>
      </w:r>
      <w:r>
        <w:rPr>
          <w:rFonts w:eastAsiaTheme="minorEastAsia"/>
          <w:sz w:val="24"/>
        </w:rPr>
        <w:t>10.1(d)</w:t>
      </w:r>
      <w:r>
        <w:rPr>
          <w:rFonts w:hint="eastAsia" w:eastAsiaTheme="minorEastAsia"/>
          <w:sz w:val="24"/>
        </w:rPr>
        <w:t>条的要求</w:t>
      </w:r>
      <w:r>
        <w:rPr>
          <w:rFonts w:hint="eastAsia" w:ascii="宋体" w:cs="宋体"/>
          <w:color w:val="231F20"/>
          <w:kern w:val="0"/>
          <w:sz w:val="24"/>
        </w:rPr>
        <w:t>。</w:t>
      </w:r>
    </w:p>
    <w:p w14:paraId="16786834">
      <w:pPr>
        <w:pStyle w:val="2"/>
        <w:spacing w:line="360" w:lineRule="auto"/>
        <w:outlineLvl w:val="9"/>
        <w:rPr>
          <w:rFonts w:hint="eastAsia" w:eastAsiaTheme="minorEastAsia"/>
          <w:sz w:val="24"/>
          <w:szCs w:val="24"/>
        </w:rPr>
      </w:pPr>
    </w:p>
    <w:p w14:paraId="0D67D351">
      <w:pPr>
        <w:widowControl/>
        <w:spacing w:line="360" w:lineRule="auto"/>
        <w:jc w:val="center"/>
        <w:rPr>
          <w:rFonts w:ascii="Times New Roman" w:hAnsi="Times New Roman" w:cs="Times New Roman" w:eastAsiaTheme="minorEastAsia"/>
          <w:b/>
          <w:bCs/>
          <w:sz w:val="36"/>
          <w:szCs w:val="24"/>
        </w:rPr>
      </w:pPr>
    </w:p>
    <w:p w14:paraId="0DDA3498">
      <w:pPr>
        <w:widowControl/>
        <w:spacing w:line="360" w:lineRule="auto"/>
        <w:jc w:val="center"/>
        <w:rPr>
          <w:rFonts w:ascii="Times New Roman" w:hAnsi="Times New Roman" w:cs="Times New Roman" w:eastAsiaTheme="minorEastAsia"/>
          <w:b/>
          <w:bCs/>
          <w:sz w:val="36"/>
          <w:szCs w:val="24"/>
        </w:rPr>
      </w:pPr>
    </w:p>
    <w:p w14:paraId="393C2F60">
      <w:pPr>
        <w:widowControl/>
        <w:spacing w:line="360" w:lineRule="auto"/>
        <w:jc w:val="center"/>
        <w:rPr>
          <w:rFonts w:ascii="Times New Roman" w:hAnsi="Times New Roman" w:cs="Times New Roman" w:eastAsiaTheme="minorEastAsia"/>
          <w:b/>
          <w:bCs/>
          <w:sz w:val="36"/>
          <w:szCs w:val="24"/>
        </w:rPr>
      </w:pPr>
    </w:p>
    <w:p w14:paraId="52D95C04">
      <w:pPr>
        <w:widowControl/>
        <w:spacing w:line="360" w:lineRule="auto"/>
        <w:jc w:val="center"/>
        <w:rPr>
          <w:rFonts w:ascii="Times New Roman" w:hAnsi="Times New Roman" w:cs="Times New Roman" w:eastAsiaTheme="minorEastAsia"/>
          <w:b/>
          <w:bCs/>
          <w:sz w:val="36"/>
          <w:szCs w:val="24"/>
        </w:rPr>
      </w:pPr>
    </w:p>
    <w:p w14:paraId="3385E632">
      <w:pPr>
        <w:widowControl/>
        <w:spacing w:line="360" w:lineRule="auto"/>
        <w:ind w:firstLine="3253" w:firstLineChars="900"/>
        <w:jc w:val="both"/>
        <w:rPr>
          <w:rFonts w:ascii="Times New Roman" w:hAnsi="Times New Roman" w:cs="Times New Roman" w:eastAsiaTheme="minorEastAsia"/>
          <w:b/>
          <w:bCs/>
          <w:sz w:val="36"/>
          <w:szCs w:val="24"/>
        </w:rPr>
      </w:pPr>
    </w:p>
    <w:p w14:paraId="610CBE4B">
      <w:pPr>
        <w:widowControl/>
        <w:spacing w:line="360" w:lineRule="auto"/>
        <w:ind w:firstLine="2701" w:firstLineChars="900"/>
        <w:jc w:val="both"/>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11职业健康安全</w:t>
      </w:r>
    </w:p>
    <w:p w14:paraId="68A34B8F">
      <w:pPr>
        <w:spacing w:line="360" w:lineRule="auto"/>
        <w:rPr>
          <w:rFonts w:eastAsiaTheme="minorEastAsia"/>
          <w:sz w:val="24"/>
        </w:rPr>
      </w:pPr>
      <w:r>
        <w:rPr>
          <w:rFonts w:eastAsiaTheme="minorEastAsia"/>
          <w:sz w:val="24"/>
        </w:rPr>
        <w:t>原则：实体应为所有员工和承包商提供和提升安全和健康的工作条件。</w:t>
      </w:r>
    </w:p>
    <w:p w14:paraId="6B281BD6">
      <w:pPr>
        <w:pStyle w:val="2"/>
        <w:spacing w:line="360" w:lineRule="auto"/>
        <w:rPr>
          <w:rFonts w:hint="eastAsia" w:asciiTheme="minorEastAsia" w:hAnsiTheme="minorEastAsia" w:eastAsiaTheme="minorEastAsia" w:cstheme="minorEastAsia"/>
          <w:b/>
          <w:szCs w:val="24"/>
        </w:rPr>
      </w:pPr>
      <w:bookmarkStart w:id="118" w:name="_Toc10151"/>
      <w:r>
        <w:rPr>
          <w:rFonts w:hint="eastAsia" w:asciiTheme="minorEastAsia" w:hAnsiTheme="minorEastAsia" w:eastAsiaTheme="minorEastAsia" w:cstheme="minorEastAsia"/>
          <w:b/>
          <w:szCs w:val="24"/>
        </w:rPr>
        <w:t>11.1职业健康与安全管理体系（OH&amp;S）</w:t>
      </w:r>
      <w:bookmarkEnd w:id="118"/>
    </w:p>
    <w:p w14:paraId="0BF31327">
      <w:pPr>
        <w:pStyle w:val="2"/>
        <w:spacing w:line="360" w:lineRule="auto"/>
        <w:rPr>
          <w:rFonts w:hint="eastAsia" w:asciiTheme="minorEastAsia" w:hAnsiTheme="minorEastAsia" w:eastAsiaTheme="minorEastAsia" w:cstheme="minorEastAsia"/>
          <w:sz w:val="24"/>
          <w:szCs w:val="24"/>
        </w:rPr>
      </w:pPr>
      <w:bookmarkStart w:id="119" w:name="_Toc30330"/>
      <w:bookmarkStart w:id="120" w:name="_Toc23966"/>
      <w:r>
        <w:rPr>
          <w:rFonts w:hint="eastAsia" w:asciiTheme="minorEastAsia" w:hAnsiTheme="minorEastAsia" w:eastAsiaTheme="minorEastAsia" w:cstheme="minorEastAsia"/>
          <w:sz w:val="24"/>
          <w:szCs w:val="24"/>
        </w:rPr>
        <w:t>公司建立了ISO45001职业健康安全管理体系，并持续保持。</w:t>
      </w:r>
      <w:bookmarkEnd w:id="119"/>
      <w:bookmarkEnd w:id="120"/>
    </w:p>
    <w:p w14:paraId="073265C3">
      <w:pPr>
        <w:rPr>
          <w:rFonts w:hint="eastAsia" w:eastAsiaTheme="minorEastAsia"/>
          <w:sz w:val="24"/>
          <w:szCs w:val="24"/>
        </w:rPr>
      </w:pPr>
      <w:r>
        <w:rPr>
          <w:rFonts w:hint="eastAsia" w:asciiTheme="minorEastAsia" w:hAnsiTheme="minorEastAsia" w:eastAsiaTheme="minorEastAsia" w:cstheme="minorEastAsia"/>
          <w:sz w:val="24"/>
        </w:rPr>
        <w:t>ISO45001证书在网站上披露。</w:t>
      </w:r>
    </w:p>
    <w:p w14:paraId="3DE529B2">
      <w:pPr>
        <w:pStyle w:val="2"/>
        <w:spacing w:line="360" w:lineRule="auto"/>
        <w:rPr>
          <w:rFonts w:hint="eastAsia" w:asciiTheme="majorEastAsia" w:hAnsiTheme="majorEastAsia" w:eastAsiaTheme="majorEastAsia" w:cstheme="majorEastAsia"/>
          <w:b/>
          <w:szCs w:val="24"/>
        </w:rPr>
      </w:pPr>
      <w:bookmarkStart w:id="121" w:name="_Toc13678"/>
      <w:r>
        <w:rPr>
          <w:rFonts w:hint="eastAsia" w:asciiTheme="majorEastAsia" w:hAnsiTheme="majorEastAsia" w:eastAsiaTheme="majorEastAsia" w:cstheme="majorEastAsia"/>
          <w:b/>
          <w:szCs w:val="24"/>
        </w:rPr>
        <w:t>11.2 员工参与健康与安全</w:t>
      </w:r>
      <w:bookmarkEnd w:id="121"/>
    </w:p>
    <w:p w14:paraId="3D1F99AE">
      <w:pPr>
        <w:spacing w:line="360" w:lineRule="auto"/>
        <w:rPr>
          <w:rFonts w:ascii="Times New Roman" w:hAnsi="Times New Roman" w:cs="Times New Roman" w:eastAsiaTheme="minorEastAsia"/>
          <w:sz w:val="24"/>
          <w:szCs w:val="24"/>
        </w:rPr>
        <w:sectPr>
          <w:pgSz w:w="11907" w:h="16840"/>
          <w:pgMar w:top="1134" w:right="1418" w:bottom="1134" w:left="1418" w:header="737" w:footer="737" w:gutter="0"/>
          <w:cols w:space="425" w:num="1"/>
          <w:docGrid w:linePitch="312" w:charSpace="0"/>
        </w:sectPr>
      </w:pPr>
      <w:r>
        <w:rPr>
          <w:rFonts w:hint="eastAsia" w:eastAsiaTheme="minorEastAsia"/>
          <w:sz w:val="24"/>
        </w:rPr>
        <w:t>公司为员工们提供向管理层提出、讨论并参与解决职业健康安全问题的机制，设立意见箱和沟通邮件和电话。</w:t>
      </w:r>
    </w:p>
    <w:p w14:paraId="6EC93E6C">
      <w:pPr>
        <w:pStyle w:val="25"/>
        <w:spacing w:before="0" w:after="0" w:line="360" w:lineRule="auto"/>
        <w:ind w:firstLine="3602" w:firstLineChars="1200"/>
        <w:jc w:val="both"/>
        <w:rPr>
          <w:rFonts w:hint="eastAsia" w:ascii="微软雅黑" w:hAnsi="微软雅黑" w:eastAsia="微软雅黑" w:cs="微软雅黑"/>
          <w:sz w:val="30"/>
          <w:szCs w:val="30"/>
        </w:rPr>
      </w:pPr>
      <w:bookmarkStart w:id="122" w:name="_Toc76649167"/>
      <w:bookmarkStart w:id="123" w:name="_Toc22523"/>
      <w:r>
        <w:rPr>
          <w:rFonts w:hint="eastAsia" w:ascii="微软雅黑" w:hAnsi="微软雅黑" w:eastAsia="微软雅黑" w:cs="微软雅黑"/>
          <w:sz w:val="30"/>
          <w:szCs w:val="30"/>
        </w:rPr>
        <w:t>1</w:t>
      </w:r>
      <w:r>
        <w:rPr>
          <w:rFonts w:hint="eastAsia" w:ascii="微软雅黑" w:hAnsi="微软雅黑" w:eastAsia="微软雅黑" w:cs="微软雅黑"/>
          <w:sz w:val="30"/>
          <w:szCs w:val="30"/>
          <w:lang w:val="en-US" w:eastAsia="zh-CN"/>
        </w:rPr>
        <w:t>2</w:t>
      </w:r>
      <w:r>
        <w:rPr>
          <w:rFonts w:hint="eastAsia" w:ascii="微软雅黑" w:hAnsi="微软雅黑" w:eastAsia="微软雅黑" w:cs="微软雅黑"/>
          <w:sz w:val="30"/>
          <w:szCs w:val="30"/>
        </w:rPr>
        <w:t xml:space="preserve"> 管理系统</w:t>
      </w:r>
      <w:bookmarkEnd w:id="122"/>
      <w:bookmarkEnd w:id="123"/>
    </w:p>
    <w:p w14:paraId="1F2BD5AA">
      <w:pPr>
        <w:pStyle w:val="2"/>
        <w:spacing w:line="360" w:lineRule="auto"/>
        <w:rPr>
          <w:rFonts w:hint="eastAsia" w:asciiTheme="minorEastAsia" w:hAnsiTheme="minorEastAsia" w:eastAsiaTheme="minorEastAsia" w:cstheme="minorEastAsia"/>
          <w:b/>
          <w:szCs w:val="24"/>
        </w:rPr>
      </w:pPr>
      <w:bookmarkStart w:id="124" w:name="_Toc27911"/>
      <w:bookmarkStart w:id="125" w:name="_Toc76649168"/>
      <w:r>
        <w:rPr>
          <w:rFonts w:hint="eastAsia" w:asciiTheme="minorEastAsia" w:hAnsiTheme="minorEastAsia" w:eastAsiaTheme="minorEastAsia" w:cstheme="minorEastAsia"/>
          <w:b/>
          <w:szCs w:val="24"/>
          <w:lang w:eastAsia="zh-CN"/>
        </w:rPr>
        <w:t>12</w:t>
      </w:r>
      <w:r>
        <w:rPr>
          <w:rFonts w:hint="eastAsia" w:asciiTheme="minorEastAsia" w:hAnsiTheme="minorEastAsia" w:eastAsiaTheme="minorEastAsia" w:cstheme="minorEastAsia"/>
          <w:b/>
          <w:szCs w:val="24"/>
        </w:rPr>
        <w:t>.1计划与实施</w:t>
      </w:r>
      <w:bookmarkEnd w:id="124"/>
      <w:bookmarkEnd w:id="125"/>
    </w:p>
    <w:p w14:paraId="6FB09C8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.1.1管理部负责编制“员工培训计划”，并向新招聘员工讲解ASI管理体系的内容和实施规定，每年向在职员工提供适当培训。管理部确保公司上下都通晓、执行本标准规定，包括但不限于下列方法：</w:t>
      </w:r>
    </w:p>
    <w:p w14:paraId="65726CC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w:t>
      </w:r>
      <w:r>
        <w:rPr>
          <w:rFonts w:hint="eastAsia" w:asciiTheme="minorEastAsia" w:hAnsiTheme="minorEastAsia" w:eastAsiaTheme="minorEastAsia" w:cstheme="minorEastAsia"/>
          <w:sz w:val="24"/>
        </w:rPr>
        <w:t>明确界定各方职能、责任和职权。</w:t>
      </w:r>
    </w:p>
    <w:p w14:paraId="71C3872C">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对新进、调职或临时员工进行培训。</w:t>
      </w:r>
    </w:p>
    <w:p w14:paraId="7525995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对现有员工定期进行指导、培训和宣传。</w:t>
      </w:r>
    </w:p>
    <w:p w14:paraId="3E79AB0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4）</w:t>
      </w:r>
      <w:r>
        <w:rPr>
          <w:rFonts w:hint="eastAsia" w:asciiTheme="minorEastAsia" w:hAnsiTheme="minorEastAsia" w:eastAsiaTheme="minorEastAsia" w:cstheme="minorEastAsia"/>
          <w:sz w:val="24"/>
        </w:rPr>
        <w:t>持续监督有关活动和成效来检验所实施体系是否符合公司政策及本标准要求。</w:t>
      </w:r>
    </w:p>
    <w:p w14:paraId="5CA3EDF5">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.1.2管理者代表负责推行ASI管理体系的政策。</w:t>
      </w:r>
    </w:p>
    <w:p w14:paraId="17ECC0D9">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.1.3员工可通过意见箱、书面通知或口头形式或通过员工代表等与公司管理层或管理者代表就公司ASI管理体系的不符合事项进行沟通。</w:t>
      </w:r>
    </w:p>
    <w:p w14:paraId="70AF0D6F">
      <w:pPr>
        <w:spacing w:line="360" w:lineRule="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.1.4员工代表可就公司的ASI管理体系定期和不定期地与公司管理层或管理者代表</w:t>
      </w:r>
      <w:r>
        <w:rPr>
          <w:rFonts w:hint="eastAsia" w:asciiTheme="minorEastAsia" w:hAnsiTheme="minorEastAsia" w:eastAsiaTheme="minorEastAsia" w:cstheme="minorEastAsia"/>
          <w:color w:val="auto"/>
          <w:sz w:val="24"/>
        </w:rPr>
        <w:t>进行沟通，并监督不符合事项的纠正和预防，不断完善ASI管理系统。</w:t>
      </w:r>
    </w:p>
    <w:p w14:paraId="44097B11">
      <w:pPr>
        <w:spacing w:line="360" w:lineRule="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12</w:t>
      </w:r>
      <w:r>
        <w:rPr>
          <w:rFonts w:hint="eastAsia" w:asciiTheme="minorEastAsia" w:hAnsiTheme="minorEastAsia" w:eastAsiaTheme="minorEastAsia" w:cstheme="minorEastAsia"/>
          <w:color w:val="auto"/>
          <w:sz w:val="24"/>
        </w:rPr>
        <w:t>.1.5由受过 ASI绩效标准课程培训</w:t>
      </w:r>
      <w:r>
        <w:rPr>
          <w:rFonts w:hint="eastAsia" w:asciiTheme="minorEastAsia" w:hAnsiTheme="minorEastAsia" w:eastAsiaTheme="minorEastAsia" w:cstheme="minorEastAsia"/>
          <w:color w:val="auto"/>
          <w:sz w:val="24"/>
          <w:lang w:val="en-US" w:eastAsia="zh-CN"/>
        </w:rPr>
        <w:t>人员定期对ASI应</w:t>
      </w:r>
      <w:r>
        <w:rPr>
          <w:rFonts w:hint="eastAsia" w:asciiTheme="minorEastAsia" w:hAnsiTheme="minorEastAsia" w:eastAsiaTheme="minorEastAsia" w:cstheme="minorEastAsia"/>
          <w:color w:val="auto"/>
          <w:sz w:val="24"/>
        </w:rPr>
        <w:t>评审</w:t>
      </w:r>
      <w:r>
        <w:rPr>
          <w:rFonts w:hint="eastAsia" w:asciiTheme="minorEastAsia" w:hAnsiTheme="minorEastAsia" w:eastAsiaTheme="minorEastAsia" w:cstheme="minorEastAsia"/>
          <w:color w:val="auto"/>
          <w:sz w:val="24"/>
          <w:lang w:val="en-US" w:eastAsia="zh-CN"/>
        </w:rPr>
        <w:t>条款进行评价，</w:t>
      </w:r>
      <w:r>
        <w:rPr>
          <w:rFonts w:hint="eastAsia" w:asciiTheme="minorEastAsia" w:hAnsiTheme="minorEastAsia" w:eastAsiaTheme="minorEastAsia" w:cstheme="minorEastAsia"/>
          <w:color w:val="auto"/>
          <w:sz w:val="24"/>
        </w:rPr>
        <w:t>由管理者代表每年举行会议审查公司的ASI管理体系政策、程序实施是否完善及对不完善作出修正。</w:t>
      </w:r>
    </w:p>
    <w:p w14:paraId="6BA20E4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lang w:val="en-US" w:eastAsia="zh-CN"/>
        </w:rPr>
        <w:t>6</w:t>
      </w:r>
      <w:r>
        <w:rPr>
          <w:rFonts w:hint="eastAsia" w:asciiTheme="minorEastAsia" w:hAnsiTheme="minorEastAsia" w:eastAsiaTheme="minorEastAsia" w:cstheme="minorEastAsia"/>
          <w:sz w:val="24"/>
        </w:rPr>
        <w:t>公司在实际运作中将参考ASI绩效标准条款有关的讲解及说明。</w:t>
      </w:r>
    </w:p>
    <w:p w14:paraId="43098DC2">
      <w:pPr>
        <w:pStyle w:val="2"/>
        <w:spacing w:line="360" w:lineRule="auto"/>
        <w:rPr>
          <w:rFonts w:hint="eastAsia" w:asciiTheme="minorEastAsia" w:hAnsiTheme="minorEastAsia" w:eastAsiaTheme="minorEastAsia" w:cstheme="minorEastAsia"/>
          <w:b/>
          <w:szCs w:val="24"/>
        </w:rPr>
      </w:pPr>
      <w:bookmarkStart w:id="126" w:name="_Toc76649169"/>
      <w:bookmarkStart w:id="127" w:name="_Toc9980"/>
      <w:r>
        <w:rPr>
          <w:rFonts w:hint="eastAsia" w:asciiTheme="minorEastAsia" w:hAnsiTheme="minorEastAsia" w:eastAsiaTheme="minorEastAsia" w:cstheme="minorEastAsia"/>
          <w:b/>
          <w:szCs w:val="24"/>
          <w:lang w:eastAsia="zh-CN"/>
        </w:rPr>
        <w:t>12</w:t>
      </w:r>
      <w:r>
        <w:rPr>
          <w:rFonts w:hint="eastAsia" w:asciiTheme="minorEastAsia" w:hAnsiTheme="minorEastAsia" w:eastAsiaTheme="minorEastAsia" w:cstheme="minorEastAsia"/>
          <w:b/>
          <w:szCs w:val="24"/>
        </w:rPr>
        <w:t>.2处理疑虑和采取纠正行动</w:t>
      </w:r>
      <w:bookmarkEnd w:id="126"/>
      <w:bookmarkEnd w:id="127"/>
    </w:p>
    <w:p w14:paraId="6090238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.2.1公司提供一个保密手段让所有员工向公司管理层和员工代表对违反此标准作出举报。举报形式包括：</w:t>
      </w:r>
      <w:r>
        <w:rPr>
          <w:rFonts w:hint="eastAsia" w:asciiTheme="minorEastAsia" w:hAnsiTheme="minorEastAsia" w:eastAsiaTheme="minorEastAsia" w:cstheme="minorEastAsia"/>
          <w:sz w:val="24"/>
          <w:lang w:val="en-US" w:eastAsia="zh-CN"/>
        </w:rPr>
        <w:t>电话、微信、意见箱</w:t>
      </w:r>
      <w:r>
        <w:rPr>
          <w:rFonts w:hint="eastAsia" w:asciiTheme="minorEastAsia" w:hAnsiTheme="minorEastAsia" w:eastAsiaTheme="minorEastAsia" w:cstheme="minorEastAsia"/>
          <w:sz w:val="24"/>
        </w:rPr>
        <w:t>投匿名信、向工会或员工代表反映意见、定期在员工代表会议上反映问题等。当员工和其它利益团体质疑公司是否符合公司ASI管理体系政策规定的事项时，公司管理者代表委派人员调查处理和采取纠正行动。</w:t>
      </w:r>
    </w:p>
    <w:p w14:paraId="14AF693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.2.2公司保证不对质疑公司的员工采取惩罚、解雇或歧视的行为。</w:t>
      </w:r>
    </w:p>
    <w:p w14:paraId="14C0B95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.2.3公司依据员工和其它利益团体的意见、日常检查报告、内部评审报告、管理层审查报告等，对不符合事项采取适当的补救和纠正预防行动，并且提供足够的资源来从事相关的行动。</w:t>
      </w:r>
    </w:p>
    <w:p w14:paraId="40922BF9">
      <w:pPr>
        <w:pStyle w:val="2"/>
        <w:spacing w:line="360" w:lineRule="auto"/>
        <w:rPr>
          <w:rFonts w:hint="eastAsia" w:asciiTheme="minorEastAsia" w:hAnsiTheme="minorEastAsia" w:eastAsiaTheme="minorEastAsia" w:cstheme="minorEastAsia"/>
          <w:b/>
          <w:szCs w:val="24"/>
        </w:rPr>
      </w:pPr>
      <w:bookmarkStart w:id="128" w:name="_Toc76649170"/>
      <w:bookmarkStart w:id="129" w:name="_Toc64"/>
      <w:r>
        <w:rPr>
          <w:rFonts w:hint="eastAsia" w:asciiTheme="minorEastAsia" w:hAnsiTheme="minorEastAsia" w:eastAsiaTheme="minorEastAsia" w:cstheme="minorEastAsia"/>
          <w:b/>
          <w:szCs w:val="24"/>
          <w:lang w:eastAsia="zh-CN"/>
        </w:rPr>
        <w:t>12</w:t>
      </w:r>
      <w:r>
        <w:rPr>
          <w:rFonts w:hint="eastAsia" w:asciiTheme="minorEastAsia" w:hAnsiTheme="minorEastAsia" w:eastAsiaTheme="minorEastAsia" w:cstheme="minorEastAsia"/>
          <w:b/>
          <w:szCs w:val="24"/>
        </w:rPr>
        <w:t>.3 对外沟通</w:t>
      </w:r>
      <w:bookmarkEnd w:id="128"/>
      <w:bookmarkEnd w:id="129"/>
    </w:p>
    <w:p w14:paraId="42ADB73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.3.1公司建立和维持跟所有利益团体经常沟通，就公司在本标准所列各项要求上的表现，提供相关的资料和数据，所提供的数据包括但不限于管理审查和监督活动的结果。</w:t>
      </w:r>
    </w:p>
    <w:p w14:paraId="594F05E5">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.3.2公司会和所有利益相关方进行对话，包括但不限于：员工、工会、供应商、分包商、</w:t>
      </w:r>
      <w:r>
        <w:rPr>
          <w:rFonts w:hint="eastAsia" w:asciiTheme="minorEastAsia" w:hAnsiTheme="minorEastAsia" w:eastAsiaTheme="minorEastAsia" w:cstheme="minorEastAsia"/>
          <w:color w:val="0070C0"/>
          <w:sz w:val="24"/>
          <w:lang w:val="en-US" w:eastAsia="zh-CN"/>
        </w:rPr>
        <w:t>周边组织和人群、</w:t>
      </w:r>
      <w:r>
        <w:rPr>
          <w:rFonts w:hint="eastAsia" w:asciiTheme="minorEastAsia" w:hAnsiTheme="minorEastAsia" w:eastAsiaTheme="minorEastAsia" w:cstheme="minorEastAsia"/>
          <w:sz w:val="24"/>
        </w:rPr>
        <w:t>下级供应商、非政府机构及当地和国家政府官员等，以确认标准的符合性。</w:t>
      </w:r>
    </w:p>
    <w:p w14:paraId="47A2093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.3.3管理部统计所有员工的意见及提出本系统中的不符合事项，交管理者代表审查，管理者代表就该事项委派人员进行调查和纠正，后将纠正行动回复该员工。</w:t>
      </w:r>
    </w:p>
    <w:p w14:paraId="2E4879D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.3.4由管理代表安排向客户、供货商或分包商和当地劳动主管部门及政府机构沟通，包括，但不限于：</w:t>
      </w:r>
    </w:p>
    <w:p w14:paraId="2D7623EA">
      <w:pPr>
        <w:spacing w:line="360" w:lineRule="auto"/>
        <w:rPr>
          <w:rFonts w:eastAsiaTheme="minorEastAsia"/>
          <w:sz w:val="24"/>
        </w:rPr>
      </w:pPr>
      <w:r>
        <w:rPr>
          <w:rFonts w:hint="eastAsia" w:eastAsiaTheme="minorEastAsia"/>
          <w:sz w:val="24"/>
          <w:lang w:val="en-US" w:eastAsia="zh-CN"/>
        </w:rPr>
        <w:t>1）</w:t>
      </w:r>
      <w:r>
        <w:rPr>
          <w:rFonts w:eastAsiaTheme="minorEastAsia"/>
          <w:sz w:val="24"/>
        </w:rPr>
        <w:t>公司的ASI管理政策和目标。</w:t>
      </w:r>
    </w:p>
    <w:p w14:paraId="284C8B72">
      <w:pPr>
        <w:spacing w:line="360" w:lineRule="auto"/>
        <w:rPr>
          <w:rFonts w:eastAsiaTheme="minorEastAsia"/>
          <w:sz w:val="24"/>
        </w:rPr>
      </w:pPr>
      <w:r>
        <w:rPr>
          <w:rFonts w:hint="eastAsia" w:eastAsiaTheme="minorEastAsia"/>
          <w:sz w:val="24"/>
          <w:lang w:val="en-US" w:eastAsia="zh-CN"/>
        </w:rPr>
        <w:t>2）</w:t>
      </w:r>
      <w:r>
        <w:rPr>
          <w:rFonts w:eastAsiaTheme="minorEastAsia"/>
          <w:sz w:val="24"/>
        </w:rPr>
        <w:t>内部评审报告。</w:t>
      </w:r>
    </w:p>
    <w:p w14:paraId="1B8E5A2D">
      <w:pPr>
        <w:spacing w:line="360" w:lineRule="auto"/>
        <w:rPr>
          <w:rFonts w:eastAsiaTheme="minorEastAsia"/>
          <w:sz w:val="24"/>
        </w:rPr>
      </w:pPr>
      <w:r>
        <w:rPr>
          <w:rFonts w:hint="eastAsia" w:eastAsiaTheme="minorEastAsia"/>
          <w:sz w:val="24"/>
          <w:lang w:val="en-US" w:eastAsia="zh-CN"/>
        </w:rPr>
        <w:t>3）</w:t>
      </w:r>
      <w:r>
        <w:rPr>
          <w:rFonts w:eastAsiaTheme="minorEastAsia"/>
          <w:sz w:val="24"/>
        </w:rPr>
        <w:t>管理层审查报告。</w:t>
      </w:r>
    </w:p>
    <w:p w14:paraId="3F2627F2">
      <w:pPr>
        <w:spacing w:line="360" w:lineRule="auto"/>
        <w:rPr>
          <w:rFonts w:eastAsiaTheme="minorEastAsia"/>
          <w:sz w:val="24"/>
        </w:rPr>
      </w:pPr>
      <w:r>
        <w:rPr>
          <w:rFonts w:hint="eastAsia" w:eastAsiaTheme="minorEastAsia"/>
          <w:sz w:val="24"/>
          <w:lang w:val="en-US" w:eastAsia="zh-CN"/>
        </w:rPr>
        <w:t>4）</w:t>
      </w:r>
      <w:r>
        <w:rPr>
          <w:rFonts w:eastAsiaTheme="minorEastAsia"/>
          <w:sz w:val="24"/>
        </w:rPr>
        <w:t>第二方或第三方审核报告。</w:t>
      </w:r>
    </w:p>
    <w:p w14:paraId="1DC7348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.3.5 公司所有利益团体可随时向管理代表索取有关本标准的相关规定和条文。</w:t>
      </w:r>
    </w:p>
    <w:p w14:paraId="7E3701DF">
      <w:pPr>
        <w:pStyle w:val="2"/>
        <w:spacing w:line="360" w:lineRule="auto"/>
        <w:rPr>
          <w:rFonts w:hint="eastAsia" w:asciiTheme="minorEastAsia" w:hAnsiTheme="minorEastAsia" w:eastAsiaTheme="minorEastAsia" w:cstheme="minorEastAsia"/>
          <w:b/>
          <w:szCs w:val="24"/>
        </w:rPr>
      </w:pPr>
      <w:bookmarkStart w:id="130" w:name="_Toc18364"/>
      <w:bookmarkStart w:id="131" w:name="_Toc76649171"/>
      <w:r>
        <w:rPr>
          <w:rFonts w:hint="eastAsia" w:asciiTheme="minorEastAsia" w:hAnsiTheme="minorEastAsia" w:eastAsiaTheme="minorEastAsia" w:cstheme="minorEastAsia"/>
          <w:b/>
          <w:szCs w:val="24"/>
          <w:lang w:eastAsia="zh-CN"/>
        </w:rPr>
        <w:t>12</w:t>
      </w:r>
      <w:r>
        <w:rPr>
          <w:rFonts w:hint="eastAsia" w:asciiTheme="minorEastAsia" w:hAnsiTheme="minorEastAsia" w:eastAsiaTheme="minorEastAsia" w:cstheme="minorEastAsia"/>
          <w:b/>
          <w:szCs w:val="24"/>
        </w:rPr>
        <w:t>.4核实渠道</w:t>
      </w:r>
      <w:bookmarkEnd w:id="130"/>
      <w:bookmarkEnd w:id="131"/>
    </w:p>
    <w:p w14:paraId="1F4FB842">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.4.1为核实公司满足本标准要求而进行的事先通知和未事先通知的审核时，公司将根据要求给审核员提供合理的资料和取得资料的渠道。</w:t>
      </w:r>
    </w:p>
    <w:p w14:paraId="05C2001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4.2依据合同的要求，公司提供合理的信息和取得信息的渠道，确保各利益团体可核实公司是否符合本标准的规定；如果合同中有进一步的要求，公司通过采购合同条文中规定，要求供货商或分包商提供相应的信息和取得信息的渠道，以满足相关利益团体的要求。</w:t>
      </w:r>
    </w:p>
    <w:p w14:paraId="7E8A3543">
      <w:pPr>
        <w:pStyle w:val="2"/>
        <w:spacing w:line="360" w:lineRule="auto"/>
        <w:rPr>
          <w:rFonts w:hint="eastAsia" w:asciiTheme="minorEastAsia" w:hAnsiTheme="minorEastAsia" w:eastAsiaTheme="minorEastAsia" w:cstheme="minorEastAsia"/>
          <w:b/>
          <w:szCs w:val="24"/>
        </w:rPr>
      </w:pPr>
      <w:bookmarkStart w:id="132" w:name="_Toc32095"/>
      <w:bookmarkStart w:id="133" w:name="_Toc76649172"/>
      <w:r>
        <w:rPr>
          <w:rFonts w:hint="eastAsia" w:asciiTheme="minorEastAsia" w:hAnsiTheme="minorEastAsia" w:eastAsiaTheme="minorEastAsia" w:cstheme="minorEastAsia"/>
          <w:b/>
          <w:szCs w:val="24"/>
          <w:lang w:eastAsia="zh-CN"/>
        </w:rPr>
        <w:t>12</w:t>
      </w:r>
      <w:r>
        <w:rPr>
          <w:rFonts w:hint="eastAsia" w:asciiTheme="minorEastAsia" w:hAnsiTheme="minorEastAsia" w:eastAsiaTheme="minorEastAsia" w:cstheme="minorEastAsia"/>
          <w:b/>
          <w:szCs w:val="24"/>
        </w:rPr>
        <w:t>.5内部审核</w:t>
      </w:r>
      <w:bookmarkEnd w:id="132"/>
      <w:bookmarkEnd w:id="133"/>
    </w:p>
    <w:p w14:paraId="172A536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.5.1</w:t>
      </w:r>
      <w:r>
        <w:rPr>
          <w:rFonts w:hint="eastAsia" w:asciiTheme="minorEastAsia" w:hAnsiTheme="minorEastAsia" w:eastAsiaTheme="minorEastAsia" w:cstheme="minorEastAsia"/>
          <w:sz w:val="24"/>
          <w:lang w:val="en-US" w:eastAsia="zh-CN"/>
        </w:rPr>
        <w:t>质保部</w:t>
      </w:r>
      <w:r>
        <w:rPr>
          <w:rFonts w:hint="eastAsia" w:asciiTheme="minorEastAsia" w:hAnsiTheme="minorEastAsia" w:eastAsiaTheme="minorEastAsia" w:cstheme="minorEastAsia"/>
          <w:sz w:val="24"/>
        </w:rPr>
        <w:t>根据《内部审核控制程序》组织内部审核，通过内部审核验证本公司开展的各项活动是否符合公司制定的ASI管理体系的要求，以确定体系的有效性与符合性。</w:t>
      </w:r>
    </w:p>
    <w:p w14:paraId="4DCEB79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 xml:space="preserve">.5.2 </w:t>
      </w:r>
      <w:r>
        <w:rPr>
          <w:rFonts w:hint="eastAsia" w:asciiTheme="minorEastAsia" w:hAnsiTheme="minorEastAsia" w:eastAsiaTheme="minorEastAsia" w:cstheme="minorEastAsia"/>
          <w:sz w:val="24"/>
          <w:lang w:val="en-US" w:eastAsia="zh-CN"/>
        </w:rPr>
        <w:t>质保部</w:t>
      </w:r>
      <w:r>
        <w:rPr>
          <w:rFonts w:hint="eastAsia" w:asciiTheme="minorEastAsia" w:hAnsiTheme="minorEastAsia" w:eastAsiaTheme="minorEastAsia" w:cstheme="minorEastAsia"/>
          <w:sz w:val="24"/>
        </w:rPr>
        <w:t>负责制定审核计划，经总经理批准后实施。</w:t>
      </w:r>
    </w:p>
    <w:p w14:paraId="0E65EA89">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.5.3内部审核每年进行一次，且间隔不得超过十二个月，采用集中审核，特殊情况下可增加次数。</w:t>
      </w:r>
    </w:p>
    <w:p w14:paraId="76E3329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.5.4审核工作需经培训合格的</w:t>
      </w:r>
      <w:r>
        <w:rPr>
          <w:rFonts w:hint="eastAsia" w:asciiTheme="minorEastAsia" w:hAnsiTheme="minorEastAsia" w:eastAsiaTheme="minorEastAsia" w:cstheme="minorEastAsia"/>
          <w:sz w:val="24"/>
          <w:lang w:val="en-US" w:eastAsia="zh-CN"/>
        </w:rPr>
        <w:t>人</w:t>
      </w:r>
      <w:r>
        <w:rPr>
          <w:rFonts w:hint="eastAsia" w:asciiTheme="minorEastAsia" w:hAnsiTheme="minorEastAsia" w:eastAsiaTheme="minorEastAsia" w:cstheme="minorEastAsia"/>
          <w:sz w:val="24"/>
        </w:rPr>
        <w:t>员执行。</w:t>
      </w:r>
    </w:p>
    <w:p w14:paraId="05193DE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.5.5具体审核工作按《内部审核控制程序》执行，审核要覆盖体系全部要素和所有部门。</w:t>
      </w:r>
    </w:p>
    <w:p w14:paraId="346969D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.5.6审核组负责编写审核报告，经总经理批准后分发各相关部门。</w:t>
      </w:r>
    </w:p>
    <w:p w14:paraId="4B0F290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.5.7内部审核不符合项应采取纠正措施，限期实施整改。</w:t>
      </w:r>
    </w:p>
    <w:p w14:paraId="1FA631BC">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.5.8部门负责人负责本部门不合格项的整改，组织人员在一定时间内</w:t>
      </w:r>
      <w:r>
        <w:rPr>
          <w:rFonts w:hint="eastAsia" w:asciiTheme="minorEastAsia" w:hAnsiTheme="minorEastAsia" w:eastAsiaTheme="minorEastAsia" w:cstheme="minorEastAsia"/>
          <w:sz w:val="24"/>
          <w:lang w:val="en-US" w:eastAsia="zh-CN"/>
        </w:rPr>
        <w:t>制定</w:t>
      </w:r>
      <w:r>
        <w:rPr>
          <w:rFonts w:hint="eastAsia" w:asciiTheme="minorEastAsia" w:hAnsiTheme="minorEastAsia" w:eastAsiaTheme="minorEastAsia" w:cstheme="minorEastAsia"/>
          <w:sz w:val="24"/>
        </w:rPr>
        <w:t>纠正</w:t>
      </w:r>
      <w:r>
        <w:rPr>
          <w:rFonts w:hint="eastAsia" w:asciiTheme="minorEastAsia" w:hAnsiTheme="minorEastAsia" w:eastAsiaTheme="minorEastAsia" w:cstheme="minorEastAsia"/>
          <w:sz w:val="24"/>
          <w:lang w:val="en-US" w:eastAsia="zh-CN"/>
        </w:rPr>
        <w:t>和纠正</w:t>
      </w:r>
      <w:r>
        <w:rPr>
          <w:rFonts w:hint="eastAsia" w:asciiTheme="minorEastAsia" w:hAnsiTheme="minorEastAsia" w:eastAsiaTheme="minorEastAsia" w:cstheme="minorEastAsia"/>
          <w:sz w:val="24"/>
        </w:rPr>
        <w:t>措施。</w:t>
      </w:r>
    </w:p>
    <w:p w14:paraId="45CECF9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.5.9 审核组负责对纠正</w:t>
      </w:r>
      <w:r>
        <w:rPr>
          <w:rFonts w:hint="eastAsia" w:asciiTheme="minorEastAsia" w:hAnsiTheme="minorEastAsia" w:eastAsiaTheme="minorEastAsia" w:cstheme="minorEastAsia"/>
          <w:sz w:val="24"/>
          <w:lang w:val="en-US" w:eastAsia="zh-CN"/>
        </w:rPr>
        <w:t>和纠正</w:t>
      </w:r>
      <w:r>
        <w:rPr>
          <w:rFonts w:hint="eastAsia" w:asciiTheme="minorEastAsia" w:hAnsiTheme="minorEastAsia" w:eastAsiaTheme="minorEastAsia" w:cstheme="minorEastAsia"/>
          <w:sz w:val="24"/>
        </w:rPr>
        <w:t>措施的跟踪检查和有效性验证。</w:t>
      </w:r>
    </w:p>
    <w:p w14:paraId="29FF9D7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.5.10 审核报告，提交ASI体系管理评审讨论。</w:t>
      </w:r>
    </w:p>
    <w:p w14:paraId="4E48B97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.5.11ASI审核的有关记录按照《</w:t>
      </w:r>
      <w:r>
        <w:rPr>
          <w:rFonts w:hint="eastAsia" w:asciiTheme="minorEastAsia" w:hAnsiTheme="minorEastAsia" w:eastAsiaTheme="minorEastAsia" w:cstheme="minorEastAsia"/>
          <w:sz w:val="24"/>
          <w:lang w:val="en-US" w:eastAsia="zh-CN"/>
        </w:rPr>
        <w:t>文件和记录</w:t>
      </w:r>
      <w:r>
        <w:rPr>
          <w:rFonts w:hint="eastAsia" w:asciiTheme="minorEastAsia" w:hAnsiTheme="minorEastAsia" w:eastAsiaTheme="minorEastAsia" w:cstheme="minorEastAsia"/>
          <w:sz w:val="24"/>
        </w:rPr>
        <w:t>控制程序》保存。</w:t>
      </w:r>
    </w:p>
    <w:p w14:paraId="5700F9C1">
      <w:pPr>
        <w:spacing w:line="360" w:lineRule="auto"/>
        <w:outlineLvl w:val="0"/>
        <w:rPr>
          <w:rFonts w:hint="eastAsia" w:asciiTheme="minorEastAsia" w:hAnsiTheme="minorEastAsia" w:eastAsiaTheme="minorEastAsia" w:cstheme="minorEastAsia"/>
          <w:sz w:val="24"/>
        </w:rPr>
      </w:pPr>
      <w:bookmarkStart w:id="134" w:name="_Toc26212"/>
      <w:r>
        <w:rPr>
          <w:rFonts w:hint="eastAsia" w:asciiTheme="minorEastAsia" w:hAnsiTheme="minorEastAsia" w:eastAsiaTheme="minorEastAsia" w:cstheme="minorEastAsia"/>
          <w:sz w:val="24"/>
        </w:rPr>
        <w:t>本条支持文件</w:t>
      </w:r>
      <w:bookmarkEnd w:id="134"/>
    </w:p>
    <w:p w14:paraId="5B7A38E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文件和记录</w:t>
      </w:r>
      <w:r>
        <w:rPr>
          <w:rFonts w:hint="eastAsia" w:asciiTheme="minorEastAsia" w:hAnsiTheme="minorEastAsia" w:eastAsiaTheme="minorEastAsia" w:cstheme="minorEastAsia"/>
          <w:sz w:val="24"/>
        </w:rPr>
        <w:t>控制程序》</w:t>
      </w:r>
    </w:p>
    <w:p w14:paraId="04F1CF68">
      <w:pPr>
        <w:spacing w:line="360" w:lineRule="auto"/>
        <w:rPr>
          <w:rFonts w:eastAsiaTheme="minorEastAsia"/>
          <w:sz w:val="24"/>
        </w:rPr>
      </w:pPr>
      <w:r>
        <w:rPr>
          <w:rFonts w:hint="eastAsia" w:asciiTheme="minorEastAsia" w:hAnsiTheme="minorEastAsia" w:eastAsiaTheme="minorEastAsia" w:cstheme="minorEastAsia"/>
          <w:sz w:val="24"/>
        </w:rPr>
        <w:t xml:space="preserve">《内部审核控制程序》     </w:t>
      </w:r>
      <w:r>
        <w:rPr>
          <w:rFonts w:eastAsiaTheme="minorEastAsia"/>
          <w:sz w:val="24"/>
        </w:rPr>
        <w:t xml:space="preserve">           </w:t>
      </w:r>
    </w:p>
    <w:p w14:paraId="4BAE8D0A">
      <w:pPr>
        <w:pStyle w:val="2"/>
        <w:spacing w:line="360" w:lineRule="auto"/>
        <w:rPr>
          <w:rFonts w:hint="eastAsia" w:asciiTheme="minorEastAsia" w:hAnsiTheme="minorEastAsia" w:eastAsiaTheme="minorEastAsia" w:cstheme="minorEastAsia"/>
          <w:b/>
          <w:szCs w:val="24"/>
        </w:rPr>
      </w:pPr>
      <w:bookmarkStart w:id="135" w:name="_Toc76649173"/>
      <w:bookmarkStart w:id="136" w:name="_Toc17144"/>
      <w:r>
        <w:rPr>
          <w:rFonts w:hint="eastAsia" w:asciiTheme="minorEastAsia" w:hAnsiTheme="minorEastAsia" w:eastAsiaTheme="minorEastAsia" w:cstheme="minorEastAsia"/>
          <w:b/>
          <w:szCs w:val="24"/>
          <w:lang w:eastAsia="zh-CN"/>
        </w:rPr>
        <w:t>12</w:t>
      </w:r>
      <w:r>
        <w:rPr>
          <w:rFonts w:hint="eastAsia" w:asciiTheme="minorEastAsia" w:hAnsiTheme="minorEastAsia" w:eastAsiaTheme="minorEastAsia" w:cstheme="minorEastAsia"/>
          <w:b/>
          <w:szCs w:val="24"/>
        </w:rPr>
        <w:t>.6管理评审</w:t>
      </w:r>
      <w:bookmarkEnd w:id="135"/>
      <w:bookmarkEnd w:id="136"/>
    </w:p>
    <w:p w14:paraId="0265A4A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.6.1公司制定和运行《管理评审控制程序》，保证ASI管理体系的适宜性、充分性和有效性。</w:t>
      </w:r>
    </w:p>
    <w:p w14:paraId="106B7E35">
      <w:pPr>
        <w:spacing w:line="360" w:lineRule="auto"/>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lang w:eastAsia="zh-CN"/>
        </w:rPr>
        <w:t>12</w:t>
      </w:r>
      <w:r>
        <w:rPr>
          <w:rFonts w:hint="eastAsia" w:asciiTheme="minorEastAsia" w:hAnsiTheme="minorEastAsia" w:eastAsiaTheme="minorEastAsia" w:cstheme="minorEastAsia"/>
          <w:sz w:val="24"/>
          <w:highlight w:val="none"/>
        </w:rPr>
        <w:t>.6.2公司按程序文件规定的时间间隔（不超12个月）召开管理评审会议，特殊情况可增加频次。</w:t>
      </w:r>
    </w:p>
    <w:p w14:paraId="06D5665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.6.3管理评审输入：</w:t>
      </w:r>
    </w:p>
    <w:p w14:paraId="43C2D83D">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策划和实施管理评审时应考虑以下内容：</w:t>
      </w:r>
    </w:p>
    <w:p w14:paraId="40B9DD7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w:t>
      </w:r>
      <w:r>
        <w:rPr>
          <w:rFonts w:hint="eastAsia" w:asciiTheme="minorEastAsia" w:hAnsiTheme="minorEastAsia" w:eastAsiaTheme="minorEastAsia" w:cstheme="minorEastAsia"/>
          <w:sz w:val="24"/>
        </w:rPr>
        <w:t>之前管理评审的决议事项和应对措施的执行情况；</w:t>
      </w:r>
    </w:p>
    <w:p w14:paraId="7961CBB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可能影响管理体系的内外部因素的变化（如公司的组织机构、产品结构、资源发生的重大改变与调整，以及相关的法律法规、标准及其他要求发生的变更）；</w:t>
      </w:r>
    </w:p>
    <w:p w14:paraId="3CD439D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相关方的需求和期望、包括合规义务；</w:t>
      </w:r>
    </w:p>
    <w:p w14:paraId="34BBF30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4）</w:t>
      </w:r>
      <w:r>
        <w:rPr>
          <w:rFonts w:hint="eastAsia" w:asciiTheme="minorEastAsia" w:hAnsiTheme="minorEastAsia" w:eastAsiaTheme="minorEastAsia" w:cstheme="minorEastAsia"/>
          <w:sz w:val="24"/>
        </w:rPr>
        <w:t>下列有关管理体系绩效、有效性及其趋势的信息：</w:t>
      </w:r>
    </w:p>
    <w:p w14:paraId="2966378B">
      <w:pPr>
        <w:spacing w:line="360" w:lineRule="auto"/>
        <w:ind w:firstLine="720" w:firstLineChars="3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a.顾客投诉的处理、顾客满意测量结果及有关相关方反馈的重要信息（包括抱怨）；</w:t>
      </w:r>
    </w:p>
    <w:p w14:paraId="516DA297">
      <w:pPr>
        <w:spacing w:line="360" w:lineRule="auto"/>
        <w:ind w:firstLine="720" w:firstLineChars="3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b.管理方针目标、绩效指标、管理方案、重要ASI因素及不可接受风险的实施情况；</w:t>
      </w:r>
    </w:p>
    <w:p w14:paraId="7603658D">
      <w:pPr>
        <w:spacing w:line="360" w:lineRule="auto"/>
        <w:ind w:firstLine="720" w:firstLineChars="3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c.绩效体系现状和趋势；</w:t>
      </w:r>
    </w:p>
    <w:p w14:paraId="7B5BC53C">
      <w:pPr>
        <w:spacing w:line="360" w:lineRule="auto"/>
        <w:ind w:firstLine="720" w:firstLineChars="3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d.不合格的处理及其纠正措施的实施情况；</w:t>
      </w:r>
    </w:p>
    <w:p w14:paraId="0AAA881C">
      <w:pPr>
        <w:spacing w:line="360" w:lineRule="auto"/>
        <w:ind w:firstLine="720" w:firstLineChars="3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e.管理体系其他方面的监视和测量结果；</w:t>
      </w:r>
    </w:p>
    <w:p w14:paraId="4ED83C50">
      <w:pPr>
        <w:spacing w:line="360" w:lineRule="auto"/>
        <w:ind w:firstLine="720" w:firstLineChars="3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f.管理体系审核结果（包括内部、顾客和认证机构的审核情况报告）；</w:t>
      </w:r>
    </w:p>
    <w:p w14:paraId="3106A5CE">
      <w:pPr>
        <w:spacing w:line="360" w:lineRule="auto"/>
        <w:ind w:firstLine="720" w:firstLineChars="3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g.供应商的绩效（包括年度考核评估的结果）；</w:t>
      </w:r>
    </w:p>
    <w:p w14:paraId="67139DD6">
      <w:pPr>
        <w:spacing w:line="360" w:lineRule="auto"/>
        <w:ind w:firstLine="720" w:firstLineChars="3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h.风险和机遇。</w:t>
      </w:r>
    </w:p>
    <w:p w14:paraId="769AF7F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人员、基础设施、运行环境、监视和测量资源、知识等资源的充分性；</w:t>
      </w:r>
    </w:p>
    <w:p w14:paraId="322723FB">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6）</w:t>
      </w:r>
      <w:r>
        <w:rPr>
          <w:rFonts w:hint="eastAsia" w:asciiTheme="minorEastAsia" w:hAnsiTheme="minorEastAsia" w:eastAsiaTheme="minorEastAsia" w:cstheme="minorEastAsia"/>
          <w:sz w:val="24"/>
        </w:rPr>
        <w:t>应对风险和机遇所采取措施的实施情况及有效性；</w:t>
      </w:r>
    </w:p>
    <w:p w14:paraId="229C3405">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7）</w:t>
      </w:r>
      <w:r>
        <w:rPr>
          <w:rFonts w:hint="eastAsia" w:asciiTheme="minorEastAsia" w:hAnsiTheme="minorEastAsia" w:eastAsiaTheme="minorEastAsia" w:cstheme="minorEastAsia"/>
          <w:sz w:val="24"/>
        </w:rPr>
        <w:t>对改进的建议。</w:t>
      </w:r>
    </w:p>
    <w:p w14:paraId="5D84638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.6.4管理评审的输出要反映出对以上输入进行讨论、分析和评价的结果：</w:t>
      </w:r>
    </w:p>
    <w:p w14:paraId="3AEA34D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w:t>
      </w:r>
      <w:r>
        <w:rPr>
          <w:rFonts w:hint="eastAsia" w:asciiTheme="minorEastAsia" w:hAnsiTheme="minorEastAsia" w:eastAsiaTheme="minorEastAsia" w:cstheme="minorEastAsia"/>
          <w:sz w:val="24"/>
        </w:rPr>
        <w:t>ASI管理体系及其过程的有效性的结论；</w:t>
      </w:r>
    </w:p>
    <w:p w14:paraId="45F9E1F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与顾客要求有关的产品的改进；</w:t>
      </w:r>
    </w:p>
    <w:p w14:paraId="1E5D991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以上改进措施所需的资源；</w:t>
      </w:r>
    </w:p>
    <w:p w14:paraId="07C7E11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4）</w:t>
      </w:r>
      <w:r>
        <w:rPr>
          <w:rFonts w:hint="eastAsia" w:asciiTheme="minorEastAsia" w:hAnsiTheme="minorEastAsia" w:eastAsiaTheme="minorEastAsia" w:cstheme="minorEastAsia"/>
          <w:sz w:val="24"/>
        </w:rPr>
        <w:t>如需要，管理目标末实现时采取的措施；</w:t>
      </w:r>
    </w:p>
    <w:p w14:paraId="1A127331">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如需要，改进ASI体系与其他业务过程融合的机会；</w:t>
      </w:r>
    </w:p>
    <w:p w14:paraId="50D9D7B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6）</w:t>
      </w:r>
      <w:r>
        <w:rPr>
          <w:rFonts w:hint="eastAsia" w:asciiTheme="minorEastAsia" w:hAnsiTheme="minorEastAsia" w:eastAsiaTheme="minorEastAsia" w:cstheme="minorEastAsia"/>
          <w:sz w:val="24"/>
        </w:rPr>
        <w:t>任何与组织战略方向相关的结论。</w:t>
      </w:r>
    </w:p>
    <w:p w14:paraId="50369606">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7）质保部</w:t>
      </w:r>
      <w:r>
        <w:rPr>
          <w:rFonts w:hint="eastAsia" w:asciiTheme="minorEastAsia" w:hAnsiTheme="minorEastAsia" w:eastAsiaTheme="minorEastAsia" w:cstheme="minorEastAsia"/>
          <w:sz w:val="24"/>
        </w:rPr>
        <w:t>编写《管理评审报告》，作为管理评审结果的证据。</w:t>
      </w:r>
    </w:p>
    <w:p w14:paraId="592643A3">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本条支持文件  </w:t>
      </w:r>
    </w:p>
    <w:p w14:paraId="3E00F59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《管理评审控制程序》</w:t>
      </w:r>
    </w:p>
    <w:p w14:paraId="45DAD8E8">
      <w:pPr>
        <w:pStyle w:val="2"/>
        <w:spacing w:line="360" w:lineRule="auto"/>
        <w:rPr>
          <w:rFonts w:hint="eastAsia" w:asciiTheme="minorEastAsia" w:hAnsiTheme="minorEastAsia" w:eastAsiaTheme="minorEastAsia" w:cstheme="minorEastAsia"/>
          <w:b/>
          <w:szCs w:val="24"/>
        </w:rPr>
      </w:pPr>
      <w:bookmarkStart w:id="137" w:name="_Toc76649174"/>
      <w:bookmarkStart w:id="138" w:name="_Toc1536"/>
      <w:r>
        <w:rPr>
          <w:rFonts w:hint="eastAsia" w:asciiTheme="minorEastAsia" w:hAnsiTheme="minorEastAsia" w:eastAsiaTheme="minorEastAsia" w:cstheme="minorEastAsia"/>
          <w:b/>
          <w:szCs w:val="24"/>
          <w:lang w:eastAsia="zh-CN"/>
        </w:rPr>
        <w:t>12</w:t>
      </w:r>
      <w:r>
        <w:rPr>
          <w:rFonts w:hint="eastAsia" w:asciiTheme="minorEastAsia" w:hAnsiTheme="minorEastAsia" w:eastAsiaTheme="minorEastAsia" w:cstheme="minorEastAsia"/>
          <w:b/>
          <w:szCs w:val="24"/>
        </w:rPr>
        <w:t>.7 持续改进</w:t>
      </w:r>
      <w:bookmarkEnd w:id="137"/>
      <w:bookmarkEnd w:id="138"/>
    </w:p>
    <w:p w14:paraId="77C00C7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 xml:space="preserve">.7.1 </w:t>
      </w:r>
      <w:r>
        <w:rPr>
          <w:rFonts w:hint="eastAsia" w:asciiTheme="minorEastAsia" w:hAnsiTheme="minorEastAsia" w:eastAsiaTheme="minorEastAsia" w:cstheme="minorEastAsia"/>
          <w:sz w:val="24"/>
          <w:lang w:val="en-US" w:eastAsia="zh-CN"/>
        </w:rPr>
        <w:t>改进</w:t>
      </w:r>
      <w:r>
        <w:rPr>
          <w:rFonts w:hint="eastAsia" w:asciiTheme="minorEastAsia" w:hAnsiTheme="minorEastAsia" w:eastAsiaTheme="minorEastAsia" w:cstheme="minorEastAsia"/>
          <w:sz w:val="24"/>
        </w:rPr>
        <w:t xml:space="preserve"> </w:t>
      </w:r>
    </w:p>
    <w:p w14:paraId="1DAAA59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公司确定并选择改进机会，采取必要措施，满足顾客要求和增强顾客满意。 包括： </w:t>
      </w:r>
    </w:p>
    <w:p w14:paraId="36A07265">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a.改进产品和服务以满足要求并关注未来的需求和期望； </w:t>
      </w:r>
    </w:p>
    <w:p w14:paraId="445157EB">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b.纠正、预防或减少不利影响；</w:t>
      </w:r>
    </w:p>
    <w:p w14:paraId="7FA6BA4B">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c.改进管理体系的绩效和有效性。</w:t>
      </w:r>
    </w:p>
    <w:p w14:paraId="3A45CCFA">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公司将通过以上活动及其结果的分析，不断寻求改进（改进可包括：纠正、纠正措施、持续改进、突破性变革、创新和重组）的机会，通过纠正和预防措施的实施，促进管理体系持续有效的改进。</w:t>
      </w:r>
    </w:p>
    <w:p w14:paraId="22D564DE">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12</w:t>
      </w:r>
      <w:r>
        <w:rPr>
          <w:rFonts w:hint="eastAsia" w:asciiTheme="minorEastAsia" w:hAnsiTheme="minorEastAsia" w:eastAsiaTheme="minorEastAsia" w:cstheme="minorEastAsia"/>
          <w:sz w:val="24"/>
        </w:rPr>
        <w:t>.7.2 不符合、纠正措施</w:t>
      </w:r>
    </w:p>
    <w:p w14:paraId="6F8B6E84">
      <w:pPr>
        <w:spacing w:line="360" w:lineRule="auto"/>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rPr>
        <w:t>若出现不合格，包括投诉所引起的不合格，发生事件或事故，公司应</w:t>
      </w:r>
      <w:r>
        <w:rPr>
          <w:rFonts w:hint="eastAsia" w:asciiTheme="minorEastAsia" w:hAnsiTheme="minorEastAsia" w:eastAsiaTheme="minorEastAsia" w:cstheme="minorEastAsia"/>
          <w:sz w:val="24"/>
          <w:lang w:eastAsia="zh-CN"/>
        </w:rPr>
        <w:t>：</w:t>
      </w:r>
    </w:p>
    <w:p w14:paraId="531B9DEF">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1）对不合格做出应对，并在适用时：</w:t>
      </w:r>
    </w:p>
    <w:p w14:paraId="6586CDE3">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a.采取措施以控制和纠正不合格；</w:t>
      </w:r>
    </w:p>
    <w:p w14:paraId="7F956529">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b.处置产生的后果，包括减轻不利的环境影响。</w:t>
      </w:r>
    </w:p>
    <w:p w14:paraId="2156E516">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2）通过下列活动，评价是否需要采取措施，以消除产生不合格的原因，避免其再次发生或者在其他场合发生：</w:t>
      </w:r>
    </w:p>
    <w:p w14:paraId="1D9F34F7">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a.评审和分析不合格；</w:t>
      </w:r>
    </w:p>
    <w:p w14:paraId="6DF5C7EB">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b.确定不合格的原因；</w:t>
      </w:r>
    </w:p>
    <w:p w14:paraId="78A30487">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c.确定是否存在或可能发生类似的不合格/不符合。</w:t>
      </w:r>
    </w:p>
    <w:p w14:paraId="20F1BA3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3）在确定措施，实施所需的措施前，评价新措施可能存在的风险，然后实施措施；</w:t>
      </w:r>
    </w:p>
    <w:p w14:paraId="748082C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4）评审所采取的纠正措施的有效性；</w:t>
      </w:r>
    </w:p>
    <w:p w14:paraId="0124EC40">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5）需要时，更新策划期间确定的风险和机遇；</w:t>
      </w:r>
    </w:p>
    <w:p w14:paraId="0088075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6）需要时，变更管理体系。</w:t>
      </w:r>
    </w:p>
    <w:p w14:paraId="7D8DDE35">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7）</w:t>
      </w:r>
      <w:r>
        <w:rPr>
          <w:rFonts w:hint="eastAsia" w:asciiTheme="minorEastAsia" w:hAnsiTheme="minorEastAsia" w:eastAsiaTheme="minorEastAsia" w:cstheme="minorEastAsia"/>
          <w:sz w:val="24"/>
        </w:rPr>
        <w:t>纠正措施应与所产生的不合格的影响相适应。</w:t>
      </w:r>
    </w:p>
    <w:p w14:paraId="4692818A">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8）</w:t>
      </w:r>
      <w:r>
        <w:rPr>
          <w:rFonts w:hint="eastAsia" w:asciiTheme="minorEastAsia" w:hAnsiTheme="minorEastAsia" w:eastAsiaTheme="minorEastAsia" w:cstheme="minorEastAsia"/>
          <w:sz w:val="24"/>
        </w:rPr>
        <w:t>保留有关不合格和纠正措施实施的记录，作为下列亊项的证据：</w:t>
      </w:r>
    </w:p>
    <w:p w14:paraId="7D805409">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a.不合格的性质以及随后所采取的措施；</w:t>
      </w:r>
    </w:p>
    <w:p w14:paraId="3F24D35B">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b.纠正措施的结果。</w:t>
      </w:r>
    </w:p>
    <w:p w14:paraId="02CD2E18">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9）</w:t>
      </w:r>
      <w:r>
        <w:rPr>
          <w:rFonts w:hint="eastAsia" w:asciiTheme="minorEastAsia" w:hAnsiTheme="minorEastAsia" w:eastAsiaTheme="minorEastAsia" w:cstheme="minorEastAsia"/>
          <w:sz w:val="24"/>
        </w:rPr>
        <w:t xml:space="preserve">公司应持续改进管理体系的适宜性、充分性和有效性。 </w:t>
      </w:r>
    </w:p>
    <w:p w14:paraId="146DEEA4">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10）</w:t>
      </w:r>
      <w:r>
        <w:rPr>
          <w:rFonts w:hint="eastAsia" w:asciiTheme="minorEastAsia" w:hAnsiTheme="minorEastAsia" w:eastAsiaTheme="minorEastAsia" w:cstheme="minorEastAsia"/>
          <w:sz w:val="24"/>
        </w:rPr>
        <w:t>公司应考虑管理评审的分析、评价结果，以及管理评审的输出，确定是否存在持续改进的需求或机会。</w:t>
      </w:r>
    </w:p>
    <w:p w14:paraId="5868CB97">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本条支持文件  </w:t>
      </w:r>
    </w:p>
    <w:p w14:paraId="475751AC">
      <w:pPr>
        <w:spacing w:line="360" w:lineRule="auto"/>
        <w:rPr>
          <w:rFonts w:eastAsiaTheme="minorEastAsia"/>
          <w:sz w:val="24"/>
        </w:rPr>
      </w:pPr>
      <w:commentRangeStart w:id="8"/>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分析评价和改进</w:t>
      </w:r>
      <w:r>
        <w:rPr>
          <w:rFonts w:hint="eastAsia" w:asciiTheme="minorEastAsia" w:hAnsiTheme="minorEastAsia" w:eastAsiaTheme="minorEastAsia" w:cstheme="minorEastAsia"/>
          <w:sz w:val="24"/>
        </w:rPr>
        <w:t>控制程序》</w:t>
      </w:r>
      <w:commentRangeEnd w:id="8"/>
      <w:r>
        <w:commentReference w:id="8"/>
      </w:r>
    </w:p>
    <w:p w14:paraId="650EAD09">
      <w:pPr>
        <w:pStyle w:val="2"/>
        <w:spacing w:line="360" w:lineRule="auto"/>
        <w:rPr>
          <w:rFonts w:hint="eastAsia" w:asciiTheme="minorEastAsia" w:hAnsiTheme="minorEastAsia" w:eastAsiaTheme="minorEastAsia" w:cstheme="minorEastAsia"/>
          <w:b/>
          <w:szCs w:val="24"/>
        </w:rPr>
      </w:pPr>
      <w:bookmarkStart w:id="139" w:name="_Toc76649175"/>
      <w:bookmarkStart w:id="140" w:name="_Toc5007"/>
      <w:r>
        <w:rPr>
          <w:rFonts w:hint="eastAsia" w:asciiTheme="minorEastAsia" w:hAnsiTheme="minorEastAsia" w:eastAsiaTheme="minorEastAsia" w:cstheme="minorEastAsia"/>
          <w:b/>
          <w:szCs w:val="24"/>
          <w:lang w:eastAsia="zh-CN"/>
        </w:rPr>
        <w:t>12</w:t>
      </w:r>
      <w:r>
        <w:rPr>
          <w:rFonts w:hint="eastAsia" w:asciiTheme="minorEastAsia" w:hAnsiTheme="minorEastAsia" w:eastAsiaTheme="minorEastAsia" w:cstheme="minorEastAsia"/>
          <w:b/>
          <w:szCs w:val="24"/>
        </w:rPr>
        <w:t>.8记录</w:t>
      </w:r>
      <w:bookmarkEnd w:id="139"/>
      <w:bookmarkEnd w:id="140"/>
    </w:p>
    <w:p w14:paraId="6F01A524">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所有有关ASI管理体系中的记录均需保存，其保存期按《</w:t>
      </w:r>
      <w:r>
        <w:rPr>
          <w:rFonts w:hint="eastAsia" w:asciiTheme="minorEastAsia" w:hAnsiTheme="minorEastAsia" w:eastAsiaTheme="minorEastAsia" w:cstheme="minorEastAsia"/>
          <w:sz w:val="24"/>
          <w:lang w:val="en-US" w:eastAsia="zh-CN"/>
        </w:rPr>
        <w:t>文件和记录</w:t>
      </w:r>
      <w:r>
        <w:rPr>
          <w:rFonts w:hint="eastAsia" w:asciiTheme="minorEastAsia" w:hAnsiTheme="minorEastAsia" w:eastAsiaTheme="minorEastAsia" w:cstheme="minorEastAsia"/>
          <w:sz w:val="24"/>
        </w:rPr>
        <w:t>控制程序》执行，其中包括，但不限于：供应商管理记录、内部评审计划、内部评审报告、管理评审记录、纠正措施报告、会议记录、第二方或第三方审核记录等。</w:t>
      </w:r>
    </w:p>
    <w:p w14:paraId="0831BDB6">
      <w:pPr>
        <w:spacing w:line="360" w:lineRule="auto"/>
        <w:ind w:firstLine="480" w:firstLineChars="200"/>
        <w:rPr>
          <w:rFonts w:hint="eastAsia" w:asciiTheme="minorEastAsia" w:hAnsiTheme="minorEastAsia" w:eastAsiaTheme="minorEastAsia" w:cstheme="minorEastAsia"/>
          <w:sz w:val="24"/>
        </w:rPr>
      </w:pPr>
    </w:p>
    <w:p w14:paraId="5BB2458C">
      <w:pPr>
        <w:spacing w:line="360" w:lineRule="auto"/>
        <w:ind w:firstLine="480" w:firstLineChars="200"/>
        <w:rPr>
          <w:rFonts w:eastAsiaTheme="minorEastAsia"/>
          <w:sz w:val="24"/>
        </w:rPr>
      </w:pPr>
    </w:p>
    <w:sectPr>
      <w:pgSz w:w="11907" w:h="16840"/>
      <w:pgMar w:top="1134" w:right="1418" w:bottom="1134" w:left="1418" w:header="737" w:footer="737" w:gutter="0"/>
      <w:cols w:space="425" w:num="1"/>
      <w:docGrid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红豆" w:date="2024-10-08T11:49:56Z" w:initials="">
    <w:p w14:paraId="58953A7F">
      <w:pPr>
        <w:pStyle w:val="5"/>
        <w:rPr>
          <w:rFonts w:hint="default" w:eastAsia="宋体"/>
          <w:lang w:val="en-US" w:eastAsia="zh-CN"/>
        </w:rPr>
      </w:pPr>
      <w:r>
        <w:rPr>
          <w:rFonts w:hint="eastAsia"/>
          <w:lang w:val="en-US" w:eastAsia="zh-CN"/>
        </w:rPr>
        <w:t>引用集团版本</w:t>
      </w:r>
    </w:p>
  </w:comment>
  <w:comment w:id="1" w:author="红豆" w:date="2024-10-08T11:49:29Z" w:initials="">
    <w:p w14:paraId="5DF5A808">
      <w:pPr>
        <w:pStyle w:val="5"/>
        <w:rPr>
          <w:rFonts w:hint="default" w:eastAsia="宋体"/>
          <w:lang w:val="en-US" w:eastAsia="zh-CN"/>
        </w:rPr>
      </w:pPr>
      <w:r>
        <w:rPr>
          <w:rFonts w:hint="eastAsia"/>
          <w:lang w:val="en-US" w:eastAsia="zh-CN"/>
        </w:rPr>
        <w:t>未见记录表单</w:t>
      </w:r>
    </w:p>
  </w:comment>
  <w:comment w:id="2" w:author="红豆" w:date="2024-10-08T11:57:36Z" w:initials="">
    <w:p w14:paraId="038AC410">
      <w:pPr>
        <w:pStyle w:val="5"/>
        <w:rPr>
          <w:rFonts w:hint="default" w:eastAsia="宋体"/>
          <w:lang w:val="en-US" w:eastAsia="zh-CN"/>
        </w:rPr>
      </w:pPr>
      <w:r>
        <w:rPr>
          <w:rFonts w:hint="eastAsia"/>
          <w:lang w:val="en-US" w:eastAsia="zh-CN"/>
        </w:rPr>
        <w:t>改隆达程序文件</w:t>
      </w:r>
    </w:p>
  </w:comment>
  <w:comment w:id="3" w:author="红豆" w:date="2024-10-08T12:02:43Z" w:initials="">
    <w:p w14:paraId="37A26832">
      <w:pPr>
        <w:pStyle w:val="5"/>
        <w:rPr>
          <w:rFonts w:hint="default" w:eastAsia="宋体"/>
          <w:lang w:val="en-US" w:eastAsia="zh-CN"/>
        </w:rPr>
      </w:pPr>
      <w:r>
        <w:rPr>
          <w:rFonts w:hint="eastAsia"/>
          <w:lang w:val="en-US" w:eastAsia="zh-CN"/>
        </w:rPr>
        <w:t>未见表单?</w:t>
      </w:r>
    </w:p>
  </w:comment>
  <w:comment w:id="4" w:author="红豆" w:date="2024-10-08T13:06:11Z" w:initials="">
    <w:p w14:paraId="6C2D9468">
      <w:pPr>
        <w:pStyle w:val="5"/>
        <w:rPr>
          <w:rFonts w:hint="default" w:eastAsia="宋体"/>
          <w:lang w:val="en-US" w:eastAsia="zh-CN"/>
        </w:rPr>
      </w:pPr>
      <w:r>
        <w:rPr>
          <w:rFonts w:hint="eastAsia"/>
          <w:lang w:val="en-US" w:eastAsia="zh-CN"/>
        </w:rPr>
        <w:t>与生产落实</w:t>
      </w:r>
    </w:p>
  </w:comment>
  <w:comment w:id="5" w:author="红豆" w:date="2024-10-08T13:07:51Z" w:initials="">
    <w:p w14:paraId="1079CCFC">
      <w:pPr>
        <w:pStyle w:val="5"/>
        <w:rPr>
          <w:rFonts w:hint="default" w:eastAsia="宋体"/>
          <w:lang w:val="en-US" w:eastAsia="zh-CN"/>
        </w:rPr>
      </w:pPr>
      <w:r>
        <w:rPr>
          <w:rFonts w:hint="eastAsia"/>
          <w:lang w:val="en-US" w:eastAsia="zh-CN"/>
        </w:rPr>
        <w:t>与管理部落实</w:t>
      </w:r>
    </w:p>
  </w:comment>
  <w:comment w:id="6" w:author="红豆" w:date="2024-10-08T13:08:22Z" w:initials="">
    <w:p w14:paraId="184D047B">
      <w:pPr>
        <w:pStyle w:val="5"/>
        <w:rPr>
          <w:rFonts w:hint="default" w:eastAsia="宋体"/>
          <w:lang w:val="en-US" w:eastAsia="zh-CN"/>
        </w:rPr>
      </w:pPr>
      <w:r>
        <w:rPr>
          <w:rFonts w:hint="eastAsia"/>
          <w:lang w:val="en-US" w:eastAsia="zh-CN"/>
        </w:rPr>
        <w:t>表格内容与老师确认</w:t>
      </w:r>
    </w:p>
  </w:comment>
  <w:comment w:id="7" w:author="红豆" w:date="2024-10-08T13:08:48Z" w:initials="">
    <w:p w14:paraId="737F1235">
      <w:pPr>
        <w:pStyle w:val="5"/>
        <w:rPr>
          <w:rFonts w:hint="default" w:eastAsia="宋体"/>
          <w:lang w:val="en-US" w:eastAsia="zh-CN"/>
        </w:rPr>
      </w:pPr>
      <w:r>
        <w:rPr>
          <w:rFonts w:hint="eastAsia"/>
          <w:lang w:val="en-US" w:eastAsia="zh-CN"/>
        </w:rPr>
        <w:t>与管理部确认制度名称</w:t>
      </w:r>
    </w:p>
  </w:comment>
  <w:comment w:id="8" w:author="红豆" w:date="2024-10-08T13:11:05Z" w:initials="">
    <w:p w14:paraId="33249803">
      <w:pPr>
        <w:pStyle w:val="5"/>
        <w:rPr>
          <w:rFonts w:hint="default" w:eastAsia="宋体"/>
          <w:lang w:val="en-US" w:eastAsia="zh-CN"/>
        </w:rPr>
      </w:pPr>
      <w:r>
        <w:rPr>
          <w:rFonts w:hint="eastAsia"/>
          <w:lang w:val="en-US" w:eastAsia="zh-CN"/>
        </w:rPr>
        <w:t>修改程序涵盖环境、职业健康安全、ASI、能源</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8953A7F" w15:done="0"/>
  <w15:commentEx w15:paraId="5DF5A808" w15:done="0"/>
  <w15:commentEx w15:paraId="038AC410" w15:done="0"/>
  <w15:commentEx w15:paraId="37A26832" w15:done="0"/>
  <w15:commentEx w15:paraId="6C2D9468" w15:done="0"/>
  <w15:commentEx w15:paraId="1079CCFC" w15:done="0"/>
  <w15:commentEx w15:paraId="184D047B" w15:done="0"/>
  <w15:commentEx w15:paraId="737F1235" w15:done="0"/>
  <w15:commentEx w15:paraId="3324980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立体宋体-10Point">
    <w:altName w:val="黑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24E425">
    <w:pPr>
      <w:pStyle w:val="15"/>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C4A08">
    <w:pPr>
      <w:pStyle w:val="16"/>
      <w:ind w:firstLine="2700" w:firstLineChars="1500"/>
      <w:jc w:val="both"/>
    </w:pPr>
    <w:r>
      <w:drawing>
        <wp:anchor distT="0" distB="0" distL="114300" distR="114300" simplePos="0" relativeHeight="251659264" behindDoc="0" locked="0" layoutInCell="0" allowOverlap="1">
          <wp:simplePos x="0" y="0"/>
          <wp:positionH relativeFrom="margin">
            <wp:posOffset>-549275</wp:posOffset>
          </wp:positionH>
          <wp:positionV relativeFrom="paragraph">
            <wp:posOffset>-167640</wp:posOffset>
          </wp:positionV>
          <wp:extent cx="1283335" cy="326390"/>
          <wp:effectExtent l="0" t="0" r="12065" b="8890"/>
          <wp:wrapSquare wrapText="bothSides"/>
          <wp:docPr id="2" name="图片 257407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57407071"/>
                  <pic:cNvPicPr>
                    <a:picLocks noChangeAspect="1"/>
                  </pic:cNvPicPr>
                </pic:nvPicPr>
                <pic:blipFill>
                  <a:blip r:embed="rId1"/>
                  <a:stretch>
                    <a:fillRect/>
                  </a:stretch>
                </pic:blipFill>
                <pic:spPr>
                  <a:xfrm>
                    <a:off x="0" y="0"/>
                    <a:ext cx="1283335" cy="326390"/>
                  </a:xfrm>
                  <a:prstGeom prst="rect">
                    <a:avLst/>
                  </a:prstGeom>
                  <a:noFill/>
                  <a:ln>
                    <a:noFill/>
                  </a:ln>
                </pic:spPr>
              </pic:pic>
            </a:graphicData>
          </a:graphic>
        </wp:anchor>
      </w:drawing>
    </w:r>
    <w:r>
      <w:rPr>
        <w:rFonts w:hint="eastAsia"/>
      </w:rPr>
      <w:t xml:space="preserve">   </w:t>
    </w:r>
    <w:r>
      <w:rPr>
        <w:rFonts w:hint="eastAsia"/>
        <w:lang w:val="en-US" w:eastAsia="zh-CN"/>
      </w:rPr>
      <w:t xml:space="preserve">             </w:t>
    </w:r>
    <w:r>
      <w:rPr>
        <w:rFonts w:hint="eastAsia"/>
      </w:rPr>
      <w:t>ASI手册</w:t>
    </w:r>
    <w:r>
      <w:t xml:space="preserve">      </w:t>
    </w:r>
    <w:r>
      <w:rPr>
        <w:rFonts w:hint="eastAsia"/>
        <w:lang w:val="en-US" w:eastAsia="zh-CN"/>
      </w:rPr>
      <w:t xml:space="preserve">      </w:t>
    </w:r>
    <w:r>
      <w:t xml:space="preserve">      </w:t>
    </w:r>
    <w:r>
      <w:rPr>
        <w:rFonts w:hint="eastAsia"/>
        <w:lang w:val="en-US" w:eastAsia="zh-CN"/>
      </w:rPr>
      <w:t xml:space="preserve">               </w:t>
    </w:r>
    <w:r>
      <w:t xml:space="preserve">    </w:t>
    </w:r>
    <w:r>
      <w:rPr>
        <w:rFonts w:hint="eastAsia"/>
      </w:rPr>
      <w:t>版本：</w:t>
    </w:r>
    <w:r>
      <w:t>A</w:t>
    </w:r>
    <w:r>
      <w:rPr>
        <w:rFonts w:hint="eastAsia"/>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8678B6"/>
    <w:multiLevelType w:val="multilevel"/>
    <w:tmpl w:val="5E8678B6"/>
    <w:lvl w:ilvl="0" w:tentative="0">
      <w:start w:val="1"/>
      <w:numFmt w:val="lowerLetter"/>
      <w:pStyle w:val="39"/>
      <w:lvlText w:val="%1.）"/>
      <w:lvlJc w:val="left"/>
      <w:pPr>
        <w:tabs>
          <w:tab w:val="left" w:pos="2044"/>
        </w:tabs>
        <w:ind w:left="1361" w:hanging="39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红豆">
    <w15:presenceInfo w15:providerId="WPS Office" w15:userId="25524671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mYjM2MjZhYWQxNDkxYWRkNzk2M2Y1MjlkOGViMGEifQ=="/>
  </w:docVars>
  <w:rsids>
    <w:rsidRoot w:val="00172A27"/>
    <w:rsid w:val="00000D3F"/>
    <w:rsid w:val="00002B5A"/>
    <w:rsid w:val="00002C1A"/>
    <w:rsid w:val="0000318E"/>
    <w:rsid w:val="000031E1"/>
    <w:rsid w:val="000032C5"/>
    <w:rsid w:val="0000332A"/>
    <w:rsid w:val="00003BC1"/>
    <w:rsid w:val="00003EA5"/>
    <w:rsid w:val="00003EC5"/>
    <w:rsid w:val="00003F12"/>
    <w:rsid w:val="0000465D"/>
    <w:rsid w:val="000047A1"/>
    <w:rsid w:val="00004B3A"/>
    <w:rsid w:val="00004C4A"/>
    <w:rsid w:val="00004D9E"/>
    <w:rsid w:val="000050E8"/>
    <w:rsid w:val="00005830"/>
    <w:rsid w:val="000062AD"/>
    <w:rsid w:val="00006E46"/>
    <w:rsid w:val="00007018"/>
    <w:rsid w:val="00007B9B"/>
    <w:rsid w:val="00007E37"/>
    <w:rsid w:val="00007F5C"/>
    <w:rsid w:val="00010045"/>
    <w:rsid w:val="00010504"/>
    <w:rsid w:val="00010700"/>
    <w:rsid w:val="00010A5F"/>
    <w:rsid w:val="00011146"/>
    <w:rsid w:val="00011450"/>
    <w:rsid w:val="00011847"/>
    <w:rsid w:val="00011B5D"/>
    <w:rsid w:val="00011C36"/>
    <w:rsid w:val="00011F3C"/>
    <w:rsid w:val="000121CA"/>
    <w:rsid w:val="00012431"/>
    <w:rsid w:val="000125FE"/>
    <w:rsid w:val="00012D59"/>
    <w:rsid w:val="00013DCF"/>
    <w:rsid w:val="0001463B"/>
    <w:rsid w:val="00015D45"/>
    <w:rsid w:val="00015E3D"/>
    <w:rsid w:val="00016759"/>
    <w:rsid w:val="000170A5"/>
    <w:rsid w:val="000173E2"/>
    <w:rsid w:val="00017AEE"/>
    <w:rsid w:val="000204D3"/>
    <w:rsid w:val="00020940"/>
    <w:rsid w:val="00020CA6"/>
    <w:rsid w:val="00020D67"/>
    <w:rsid w:val="000216CD"/>
    <w:rsid w:val="000225A6"/>
    <w:rsid w:val="00022B13"/>
    <w:rsid w:val="00022F23"/>
    <w:rsid w:val="000230D4"/>
    <w:rsid w:val="00023761"/>
    <w:rsid w:val="00023A30"/>
    <w:rsid w:val="00024219"/>
    <w:rsid w:val="00024980"/>
    <w:rsid w:val="00024AA8"/>
    <w:rsid w:val="00024D91"/>
    <w:rsid w:val="000252B5"/>
    <w:rsid w:val="00025754"/>
    <w:rsid w:val="00025B8B"/>
    <w:rsid w:val="0002603C"/>
    <w:rsid w:val="000277CC"/>
    <w:rsid w:val="00030080"/>
    <w:rsid w:val="00030172"/>
    <w:rsid w:val="00030733"/>
    <w:rsid w:val="000318DB"/>
    <w:rsid w:val="00031E27"/>
    <w:rsid w:val="00031E9D"/>
    <w:rsid w:val="00032083"/>
    <w:rsid w:val="00032808"/>
    <w:rsid w:val="000331C2"/>
    <w:rsid w:val="000336CD"/>
    <w:rsid w:val="0003375D"/>
    <w:rsid w:val="0003486F"/>
    <w:rsid w:val="00034AEB"/>
    <w:rsid w:val="000350C5"/>
    <w:rsid w:val="00035166"/>
    <w:rsid w:val="000355E0"/>
    <w:rsid w:val="00035910"/>
    <w:rsid w:val="00035C03"/>
    <w:rsid w:val="000360EF"/>
    <w:rsid w:val="0003676C"/>
    <w:rsid w:val="00036AA5"/>
    <w:rsid w:val="000370F9"/>
    <w:rsid w:val="000374D3"/>
    <w:rsid w:val="000377FC"/>
    <w:rsid w:val="00037818"/>
    <w:rsid w:val="000378E2"/>
    <w:rsid w:val="0004067B"/>
    <w:rsid w:val="00040836"/>
    <w:rsid w:val="000409EE"/>
    <w:rsid w:val="00040C6A"/>
    <w:rsid w:val="00040F79"/>
    <w:rsid w:val="00040FE0"/>
    <w:rsid w:val="00041056"/>
    <w:rsid w:val="0004131B"/>
    <w:rsid w:val="00041EE5"/>
    <w:rsid w:val="000422B4"/>
    <w:rsid w:val="00042A5D"/>
    <w:rsid w:val="00042AF2"/>
    <w:rsid w:val="00043BB6"/>
    <w:rsid w:val="00044740"/>
    <w:rsid w:val="00044D2F"/>
    <w:rsid w:val="00045145"/>
    <w:rsid w:val="00045E30"/>
    <w:rsid w:val="00046A35"/>
    <w:rsid w:val="000505F7"/>
    <w:rsid w:val="0005139C"/>
    <w:rsid w:val="00051902"/>
    <w:rsid w:val="000524F7"/>
    <w:rsid w:val="00052F9F"/>
    <w:rsid w:val="00053164"/>
    <w:rsid w:val="00053429"/>
    <w:rsid w:val="00054237"/>
    <w:rsid w:val="00054D52"/>
    <w:rsid w:val="00055383"/>
    <w:rsid w:val="00055834"/>
    <w:rsid w:val="00056764"/>
    <w:rsid w:val="00056E9D"/>
    <w:rsid w:val="00057392"/>
    <w:rsid w:val="00057429"/>
    <w:rsid w:val="00057DE0"/>
    <w:rsid w:val="000601D5"/>
    <w:rsid w:val="0006082D"/>
    <w:rsid w:val="00060FEC"/>
    <w:rsid w:val="00061249"/>
    <w:rsid w:val="000615B5"/>
    <w:rsid w:val="00061633"/>
    <w:rsid w:val="00061A8B"/>
    <w:rsid w:val="00061C1A"/>
    <w:rsid w:val="000628DF"/>
    <w:rsid w:val="00062902"/>
    <w:rsid w:val="000629E9"/>
    <w:rsid w:val="00062A96"/>
    <w:rsid w:val="00062DD7"/>
    <w:rsid w:val="00063009"/>
    <w:rsid w:val="00063787"/>
    <w:rsid w:val="000637C1"/>
    <w:rsid w:val="00063C4F"/>
    <w:rsid w:val="00063C68"/>
    <w:rsid w:val="0006439F"/>
    <w:rsid w:val="0006444D"/>
    <w:rsid w:val="0006459A"/>
    <w:rsid w:val="00065C9A"/>
    <w:rsid w:val="0006691B"/>
    <w:rsid w:val="00067531"/>
    <w:rsid w:val="00067D15"/>
    <w:rsid w:val="00070A57"/>
    <w:rsid w:val="00070FEC"/>
    <w:rsid w:val="000710D9"/>
    <w:rsid w:val="000714A8"/>
    <w:rsid w:val="00071C52"/>
    <w:rsid w:val="00072AFA"/>
    <w:rsid w:val="0007312F"/>
    <w:rsid w:val="00073289"/>
    <w:rsid w:val="0007330A"/>
    <w:rsid w:val="0007337D"/>
    <w:rsid w:val="000736B4"/>
    <w:rsid w:val="00074488"/>
    <w:rsid w:val="000750B4"/>
    <w:rsid w:val="000750FD"/>
    <w:rsid w:val="00075484"/>
    <w:rsid w:val="00075A3C"/>
    <w:rsid w:val="00075C57"/>
    <w:rsid w:val="00075FD8"/>
    <w:rsid w:val="00076003"/>
    <w:rsid w:val="000765B3"/>
    <w:rsid w:val="000777F2"/>
    <w:rsid w:val="00077D07"/>
    <w:rsid w:val="00080204"/>
    <w:rsid w:val="0008021A"/>
    <w:rsid w:val="0008144B"/>
    <w:rsid w:val="0008146A"/>
    <w:rsid w:val="00082352"/>
    <w:rsid w:val="000828D1"/>
    <w:rsid w:val="00082EDE"/>
    <w:rsid w:val="0008340C"/>
    <w:rsid w:val="00084801"/>
    <w:rsid w:val="00084BD0"/>
    <w:rsid w:val="00085707"/>
    <w:rsid w:val="00085968"/>
    <w:rsid w:val="00085CB5"/>
    <w:rsid w:val="00085D13"/>
    <w:rsid w:val="00085E14"/>
    <w:rsid w:val="00086AB3"/>
    <w:rsid w:val="00086DD2"/>
    <w:rsid w:val="00086F5A"/>
    <w:rsid w:val="0008781E"/>
    <w:rsid w:val="00090A98"/>
    <w:rsid w:val="00091058"/>
    <w:rsid w:val="0009112E"/>
    <w:rsid w:val="0009136E"/>
    <w:rsid w:val="00091656"/>
    <w:rsid w:val="0009187D"/>
    <w:rsid w:val="00091981"/>
    <w:rsid w:val="00091B0C"/>
    <w:rsid w:val="00091F8D"/>
    <w:rsid w:val="00092438"/>
    <w:rsid w:val="00092A3A"/>
    <w:rsid w:val="00094E7E"/>
    <w:rsid w:val="000956FC"/>
    <w:rsid w:val="00095E31"/>
    <w:rsid w:val="00096AB8"/>
    <w:rsid w:val="00096EE7"/>
    <w:rsid w:val="00097A18"/>
    <w:rsid w:val="00097FB5"/>
    <w:rsid w:val="00097FBC"/>
    <w:rsid w:val="000A009A"/>
    <w:rsid w:val="000A095C"/>
    <w:rsid w:val="000A0E7C"/>
    <w:rsid w:val="000A199E"/>
    <w:rsid w:val="000A1EF9"/>
    <w:rsid w:val="000A210B"/>
    <w:rsid w:val="000A2EC7"/>
    <w:rsid w:val="000A4A2E"/>
    <w:rsid w:val="000A4CB0"/>
    <w:rsid w:val="000A600C"/>
    <w:rsid w:val="000A6901"/>
    <w:rsid w:val="000A6A3D"/>
    <w:rsid w:val="000A7120"/>
    <w:rsid w:val="000A779D"/>
    <w:rsid w:val="000B14C6"/>
    <w:rsid w:val="000B14D7"/>
    <w:rsid w:val="000B1A8A"/>
    <w:rsid w:val="000B2031"/>
    <w:rsid w:val="000B2455"/>
    <w:rsid w:val="000B2549"/>
    <w:rsid w:val="000B2F51"/>
    <w:rsid w:val="000B353D"/>
    <w:rsid w:val="000B3977"/>
    <w:rsid w:val="000B3D9F"/>
    <w:rsid w:val="000B4632"/>
    <w:rsid w:val="000B4976"/>
    <w:rsid w:val="000B4BD3"/>
    <w:rsid w:val="000B5390"/>
    <w:rsid w:val="000B5C34"/>
    <w:rsid w:val="000B6C62"/>
    <w:rsid w:val="000B7EAA"/>
    <w:rsid w:val="000C0253"/>
    <w:rsid w:val="000C1481"/>
    <w:rsid w:val="000C151B"/>
    <w:rsid w:val="000C1C8A"/>
    <w:rsid w:val="000C38FD"/>
    <w:rsid w:val="000C3BB8"/>
    <w:rsid w:val="000C4551"/>
    <w:rsid w:val="000C4E0F"/>
    <w:rsid w:val="000C4F3D"/>
    <w:rsid w:val="000C598C"/>
    <w:rsid w:val="000C5BE9"/>
    <w:rsid w:val="000C610F"/>
    <w:rsid w:val="000C6E68"/>
    <w:rsid w:val="000D01F1"/>
    <w:rsid w:val="000D0477"/>
    <w:rsid w:val="000D0949"/>
    <w:rsid w:val="000D0960"/>
    <w:rsid w:val="000D12C5"/>
    <w:rsid w:val="000D1446"/>
    <w:rsid w:val="000D157C"/>
    <w:rsid w:val="000D1697"/>
    <w:rsid w:val="000D1721"/>
    <w:rsid w:val="000D21D9"/>
    <w:rsid w:val="000D24E9"/>
    <w:rsid w:val="000D357F"/>
    <w:rsid w:val="000D3649"/>
    <w:rsid w:val="000D3ACA"/>
    <w:rsid w:val="000D415D"/>
    <w:rsid w:val="000D43AF"/>
    <w:rsid w:val="000D45BF"/>
    <w:rsid w:val="000D4B21"/>
    <w:rsid w:val="000D4DD0"/>
    <w:rsid w:val="000D5DEF"/>
    <w:rsid w:val="000D5F20"/>
    <w:rsid w:val="000D61D1"/>
    <w:rsid w:val="000D6691"/>
    <w:rsid w:val="000D685B"/>
    <w:rsid w:val="000D6951"/>
    <w:rsid w:val="000D6E34"/>
    <w:rsid w:val="000D7BA2"/>
    <w:rsid w:val="000E086B"/>
    <w:rsid w:val="000E08B7"/>
    <w:rsid w:val="000E1ACE"/>
    <w:rsid w:val="000E1AE5"/>
    <w:rsid w:val="000E20E5"/>
    <w:rsid w:val="000E2F02"/>
    <w:rsid w:val="000E3C24"/>
    <w:rsid w:val="000E3EF1"/>
    <w:rsid w:val="000E57ED"/>
    <w:rsid w:val="000E596E"/>
    <w:rsid w:val="000E6DAE"/>
    <w:rsid w:val="000E7127"/>
    <w:rsid w:val="000E71F3"/>
    <w:rsid w:val="000E77CC"/>
    <w:rsid w:val="000F021E"/>
    <w:rsid w:val="000F074C"/>
    <w:rsid w:val="000F08B3"/>
    <w:rsid w:val="000F08F3"/>
    <w:rsid w:val="000F0FFA"/>
    <w:rsid w:val="000F189C"/>
    <w:rsid w:val="000F1B15"/>
    <w:rsid w:val="000F1C92"/>
    <w:rsid w:val="000F1D6C"/>
    <w:rsid w:val="000F2127"/>
    <w:rsid w:val="000F2341"/>
    <w:rsid w:val="000F2D36"/>
    <w:rsid w:val="000F3DEF"/>
    <w:rsid w:val="000F42E8"/>
    <w:rsid w:val="000F495F"/>
    <w:rsid w:val="000F52F8"/>
    <w:rsid w:val="000F5945"/>
    <w:rsid w:val="000F6454"/>
    <w:rsid w:val="000F6E33"/>
    <w:rsid w:val="000F7253"/>
    <w:rsid w:val="000F7334"/>
    <w:rsid w:val="000F7F55"/>
    <w:rsid w:val="00100A36"/>
    <w:rsid w:val="00101078"/>
    <w:rsid w:val="001014A7"/>
    <w:rsid w:val="00102CF0"/>
    <w:rsid w:val="00103BDE"/>
    <w:rsid w:val="0010414B"/>
    <w:rsid w:val="00104F64"/>
    <w:rsid w:val="001056BA"/>
    <w:rsid w:val="00105D3D"/>
    <w:rsid w:val="0010679D"/>
    <w:rsid w:val="001071B1"/>
    <w:rsid w:val="0010723B"/>
    <w:rsid w:val="00107C96"/>
    <w:rsid w:val="00107DD0"/>
    <w:rsid w:val="00110C9B"/>
    <w:rsid w:val="001114B1"/>
    <w:rsid w:val="00111765"/>
    <w:rsid w:val="00112122"/>
    <w:rsid w:val="00112CB6"/>
    <w:rsid w:val="001132AA"/>
    <w:rsid w:val="00113B4B"/>
    <w:rsid w:val="00113E10"/>
    <w:rsid w:val="00115044"/>
    <w:rsid w:val="00115123"/>
    <w:rsid w:val="001153DA"/>
    <w:rsid w:val="0011610B"/>
    <w:rsid w:val="00116297"/>
    <w:rsid w:val="00116302"/>
    <w:rsid w:val="001164B9"/>
    <w:rsid w:val="0011662D"/>
    <w:rsid w:val="0011692D"/>
    <w:rsid w:val="00116E79"/>
    <w:rsid w:val="0011726D"/>
    <w:rsid w:val="00117373"/>
    <w:rsid w:val="001178AD"/>
    <w:rsid w:val="00117C3C"/>
    <w:rsid w:val="00117CA1"/>
    <w:rsid w:val="00117D41"/>
    <w:rsid w:val="00120BFA"/>
    <w:rsid w:val="001212FC"/>
    <w:rsid w:val="00121A9B"/>
    <w:rsid w:val="00121B12"/>
    <w:rsid w:val="00121C28"/>
    <w:rsid w:val="001222C4"/>
    <w:rsid w:val="00123E60"/>
    <w:rsid w:val="001241F3"/>
    <w:rsid w:val="00124705"/>
    <w:rsid w:val="001248F1"/>
    <w:rsid w:val="00124D03"/>
    <w:rsid w:val="0012515F"/>
    <w:rsid w:val="00125286"/>
    <w:rsid w:val="00125474"/>
    <w:rsid w:val="00125485"/>
    <w:rsid w:val="001255E1"/>
    <w:rsid w:val="001259FA"/>
    <w:rsid w:val="00125EC5"/>
    <w:rsid w:val="00126851"/>
    <w:rsid w:val="00126AAB"/>
    <w:rsid w:val="00126B8B"/>
    <w:rsid w:val="00126B9F"/>
    <w:rsid w:val="00126E5F"/>
    <w:rsid w:val="00127BFE"/>
    <w:rsid w:val="001310D5"/>
    <w:rsid w:val="001312FD"/>
    <w:rsid w:val="00131D32"/>
    <w:rsid w:val="001325AF"/>
    <w:rsid w:val="00132B88"/>
    <w:rsid w:val="001338E2"/>
    <w:rsid w:val="00133A04"/>
    <w:rsid w:val="0013426F"/>
    <w:rsid w:val="00135962"/>
    <w:rsid w:val="0013596A"/>
    <w:rsid w:val="00135B24"/>
    <w:rsid w:val="00135DF4"/>
    <w:rsid w:val="001363FD"/>
    <w:rsid w:val="00136697"/>
    <w:rsid w:val="00136A1D"/>
    <w:rsid w:val="0013736E"/>
    <w:rsid w:val="00137D88"/>
    <w:rsid w:val="001402CA"/>
    <w:rsid w:val="001405E3"/>
    <w:rsid w:val="00140C3F"/>
    <w:rsid w:val="00140E0E"/>
    <w:rsid w:val="00140F86"/>
    <w:rsid w:val="0014130C"/>
    <w:rsid w:val="00141371"/>
    <w:rsid w:val="001414DB"/>
    <w:rsid w:val="00141861"/>
    <w:rsid w:val="00141FB4"/>
    <w:rsid w:val="00141FBC"/>
    <w:rsid w:val="001420FC"/>
    <w:rsid w:val="00142A2B"/>
    <w:rsid w:val="00142F65"/>
    <w:rsid w:val="00143534"/>
    <w:rsid w:val="00143645"/>
    <w:rsid w:val="001436CA"/>
    <w:rsid w:val="00143C5A"/>
    <w:rsid w:val="00144610"/>
    <w:rsid w:val="00144C71"/>
    <w:rsid w:val="00145DD6"/>
    <w:rsid w:val="00145E26"/>
    <w:rsid w:val="00145F29"/>
    <w:rsid w:val="0014720D"/>
    <w:rsid w:val="00147D8C"/>
    <w:rsid w:val="00150348"/>
    <w:rsid w:val="00150408"/>
    <w:rsid w:val="0015056B"/>
    <w:rsid w:val="0015131A"/>
    <w:rsid w:val="00151C15"/>
    <w:rsid w:val="00151D8D"/>
    <w:rsid w:val="00151FF5"/>
    <w:rsid w:val="001521C9"/>
    <w:rsid w:val="00152D95"/>
    <w:rsid w:val="001535C7"/>
    <w:rsid w:val="00153AF8"/>
    <w:rsid w:val="00154138"/>
    <w:rsid w:val="00154452"/>
    <w:rsid w:val="00154480"/>
    <w:rsid w:val="001550EB"/>
    <w:rsid w:val="001560C1"/>
    <w:rsid w:val="00156168"/>
    <w:rsid w:val="001563BF"/>
    <w:rsid w:val="00156ECA"/>
    <w:rsid w:val="00157508"/>
    <w:rsid w:val="0015755A"/>
    <w:rsid w:val="001575A7"/>
    <w:rsid w:val="001576D2"/>
    <w:rsid w:val="00157AF8"/>
    <w:rsid w:val="0016004E"/>
    <w:rsid w:val="00160647"/>
    <w:rsid w:val="00160E05"/>
    <w:rsid w:val="00160E5E"/>
    <w:rsid w:val="00161808"/>
    <w:rsid w:val="00161D09"/>
    <w:rsid w:val="00162452"/>
    <w:rsid w:val="0016247A"/>
    <w:rsid w:val="0016295F"/>
    <w:rsid w:val="00162E49"/>
    <w:rsid w:val="00162E5F"/>
    <w:rsid w:val="001634CD"/>
    <w:rsid w:val="001636ED"/>
    <w:rsid w:val="0016406D"/>
    <w:rsid w:val="00164182"/>
    <w:rsid w:val="00164F2A"/>
    <w:rsid w:val="0016510B"/>
    <w:rsid w:val="0016553D"/>
    <w:rsid w:val="00165EAB"/>
    <w:rsid w:val="001660C7"/>
    <w:rsid w:val="001665C1"/>
    <w:rsid w:val="00166ABD"/>
    <w:rsid w:val="00166EC2"/>
    <w:rsid w:val="00167225"/>
    <w:rsid w:val="0016751F"/>
    <w:rsid w:val="001676B2"/>
    <w:rsid w:val="001679F0"/>
    <w:rsid w:val="00167B5E"/>
    <w:rsid w:val="001712E8"/>
    <w:rsid w:val="00171329"/>
    <w:rsid w:val="0017138C"/>
    <w:rsid w:val="001719DF"/>
    <w:rsid w:val="0017280C"/>
    <w:rsid w:val="00172EF7"/>
    <w:rsid w:val="001745DF"/>
    <w:rsid w:val="001752F8"/>
    <w:rsid w:val="0017645E"/>
    <w:rsid w:val="00176AFA"/>
    <w:rsid w:val="00177434"/>
    <w:rsid w:val="001775F6"/>
    <w:rsid w:val="0017772C"/>
    <w:rsid w:val="00180105"/>
    <w:rsid w:val="001802ED"/>
    <w:rsid w:val="001802FC"/>
    <w:rsid w:val="00180358"/>
    <w:rsid w:val="0018075A"/>
    <w:rsid w:val="00181A7F"/>
    <w:rsid w:val="00181BAA"/>
    <w:rsid w:val="00181D94"/>
    <w:rsid w:val="00182109"/>
    <w:rsid w:val="0018257D"/>
    <w:rsid w:val="001830BF"/>
    <w:rsid w:val="0018335E"/>
    <w:rsid w:val="001834AC"/>
    <w:rsid w:val="001836BD"/>
    <w:rsid w:val="001839C1"/>
    <w:rsid w:val="00183ED6"/>
    <w:rsid w:val="001841CB"/>
    <w:rsid w:val="001844BE"/>
    <w:rsid w:val="0018452C"/>
    <w:rsid w:val="00184CBB"/>
    <w:rsid w:val="00184CFB"/>
    <w:rsid w:val="00185156"/>
    <w:rsid w:val="00185376"/>
    <w:rsid w:val="00185BE0"/>
    <w:rsid w:val="00185E5B"/>
    <w:rsid w:val="001860FA"/>
    <w:rsid w:val="00186F2A"/>
    <w:rsid w:val="001873B6"/>
    <w:rsid w:val="00187453"/>
    <w:rsid w:val="00187534"/>
    <w:rsid w:val="0019046A"/>
    <w:rsid w:val="001906DE"/>
    <w:rsid w:val="001916DA"/>
    <w:rsid w:val="001919C8"/>
    <w:rsid w:val="00191BAB"/>
    <w:rsid w:val="001922ED"/>
    <w:rsid w:val="00192366"/>
    <w:rsid w:val="001927CA"/>
    <w:rsid w:val="00192D70"/>
    <w:rsid w:val="00192E0A"/>
    <w:rsid w:val="00193093"/>
    <w:rsid w:val="001934AE"/>
    <w:rsid w:val="001936B9"/>
    <w:rsid w:val="00193939"/>
    <w:rsid w:val="00193C1D"/>
    <w:rsid w:val="00193C44"/>
    <w:rsid w:val="00194281"/>
    <w:rsid w:val="00194917"/>
    <w:rsid w:val="00194AE7"/>
    <w:rsid w:val="00194EBF"/>
    <w:rsid w:val="001950BE"/>
    <w:rsid w:val="0019589D"/>
    <w:rsid w:val="00196E56"/>
    <w:rsid w:val="00197520"/>
    <w:rsid w:val="001A1E00"/>
    <w:rsid w:val="001A2213"/>
    <w:rsid w:val="001A2583"/>
    <w:rsid w:val="001A2EE7"/>
    <w:rsid w:val="001A3218"/>
    <w:rsid w:val="001A334E"/>
    <w:rsid w:val="001A347F"/>
    <w:rsid w:val="001A3690"/>
    <w:rsid w:val="001A50E8"/>
    <w:rsid w:val="001A5B43"/>
    <w:rsid w:val="001A6082"/>
    <w:rsid w:val="001A658F"/>
    <w:rsid w:val="001A6BF2"/>
    <w:rsid w:val="001A76C9"/>
    <w:rsid w:val="001B0AA9"/>
    <w:rsid w:val="001B0E6D"/>
    <w:rsid w:val="001B1246"/>
    <w:rsid w:val="001B1C09"/>
    <w:rsid w:val="001B25A8"/>
    <w:rsid w:val="001B2B31"/>
    <w:rsid w:val="001B2FA5"/>
    <w:rsid w:val="001B31F9"/>
    <w:rsid w:val="001B3599"/>
    <w:rsid w:val="001B4760"/>
    <w:rsid w:val="001B495F"/>
    <w:rsid w:val="001B4F65"/>
    <w:rsid w:val="001B5638"/>
    <w:rsid w:val="001B5694"/>
    <w:rsid w:val="001B654A"/>
    <w:rsid w:val="001B746E"/>
    <w:rsid w:val="001B7930"/>
    <w:rsid w:val="001B7B6F"/>
    <w:rsid w:val="001C147E"/>
    <w:rsid w:val="001C45EA"/>
    <w:rsid w:val="001C48C3"/>
    <w:rsid w:val="001C4A80"/>
    <w:rsid w:val="001C59E5"/>
    <w:rsid w:val="001C5E80"/>
    <w:rsid w:val="001C5EBA"/>
    <w:rsid w:val="001C6907"/>
    <w:rsid w:val="001C6A4F"/>
    <w:rsid w:val="001C74F3"/>
    <w:rsid w:val="001C7A85"/>
    <w:rsid w:val="001C7C51"/>
    <w:rsid w:val="001C7ED5"/>
    <w:rsid w:val="001C7F68"/>
    <w:rsid w:val="001D08C7"/>
    <w:rsid w:val="001D093D"/>
    <w:rsid w:val="001D0B88"/>
    <w:rsid w:val="001D119B"/>
    <w:rsid w:val="001D121B"/>
    <w:rsid w:val="001D1983"/>
    <w:rsid w:val="001D1A7B"/>
    <w:rsid w:val="001D1D82"/>
    <w:rsid w:val="001D298D"/>
    <w:rsid w:val="001D3127"/>
    <w:rsid w:val="001D35FF"/>
    <w:rsid w:val="001D3844"/>
    <w:rsid w:val="001D4AE8"/>
    <w:rsid w:val="001D5690"/>
    <w:rsid w:val="001D5A26"/>
    <w:rsid w:val="001D5A7F"/>
    <w:rsid w:val="001D5CE6"/>
    <w:rsid w:val="001D5D18"/>
    <w:rsid w:val="001D5DF8"/>
    <w:rsid w:val="001D5EF9"/>
    <w:rsid w:val="001D69F3"/>
    <w:rsid w:val="001D7443"/>
    <w:rsid w:val="001D763B"/>
    <w:rsid w:val="001D7A65"/>
    <w:rsid w:val="001D7D48"/>
    <w:rsid w:val="001E17BB"/>
    <w:rsid w:val="001E17E7"/>
    <w:rsid w:val="001E1AAA"/>
    <w:rsid w:val="001E26E9"/>
    <w:rsid w:val="001E3023"/>
    <w:rsid w:val="001E34BF"/>
    <w:rsid w:val="001E4125"/>
    <w:rsid w:val="001E42DE"/>
    <w:rsid w:val="001E4F9C"/>
    <w:rsid w:val="001E5451"/>
    <w:rsid w:val="001E596A"/>
    <w:rsid w:val="001E666A"/>
    <w:rsid w:val="001E68AA"/>
    <w:rsid w:val="001E69A2"/>
    <w:rsid w:val="001E7754"/>
    <w:rsid w:val="001F04E1"/>
    <w:rsid w:val="001F0531"/>
    <w:rsid w:val="001F0B0E"/>
    <w:rsid w:val="001F0B32"/>
    <w:rsid w:val="001F17D4"/>
    <w:rsid w:val="001F1C41"/>
    <w:rsid w:val="001F1EA3"/>
    <w:rsid w:val="001F1EF1"/>
    <w:rsid w:val="001F271C"/>
    <w:rsid w:val="001F323D"/>
    <w:rsid w:val="001F3668"/>
    <w:rsid w:val="001F450D"/>
    <w:rsid w:val="001F480F"/>
    <w:rsid w:val="001F4A02"/>
    <w:rsid w:val="001F5714"/>
    <w:rsid w:val="001F5A30"/>
    <w:rsid w:val="001F5B84"/>
    <w:rsid w:val="001F5D15"/>
    <w:rsid w:val="001F650A"/>
    <w:rsid w:val="001F724B"/>
    <w:rsid w:val="002001DA"/>
    <w:rsid w:val="00200283"/>
    <w:rsid w:val="002005D6"/>
    <w:rsid w:val="00200785"/>
    <w:rsid w:val="002012C1"/>
    <w:rsid w:val="00202445"/>
    <w:rsid w:val="00202812"/>
    <w:rsid w:val="00203329"/>
    <w:rsid w:val="00203CB9"/>
    <w:rsid w:val="00203D98"/>
    <w:rsid w:val="00203EE0"/>
    <w:rsid w:val="0020538A"/>
    <w:rsid w:val="002059FD"/>
    <w:rsid w:val="002068C4"/>
    <w:rsid w:val="00207AB6"/>
    <w:rsid w:val="0021130A"/>
    <w:rsid w:val="00211562"/>
    <w:rsid w:val="00211C25"/>
    <w:rsid w:val="00212217"/>
    <w:rsid w:val="002122D7"/>
    <w:rsid w:val="00212303"/>
    <w:rsid w:val="002127D0"/>
    <w:rsid w:val="0021337C"/>
    <w:rsid w:val="00213A3D"/>
    <w:rsid w:val="00214860"/>
    <w:rsid w:val="00215065"/>
    <w:rsid w:val="00215112"/>
    <w:rsid w:val="00215B5E"/>
    <w:rsid w:val="00215B73"/>
    <w:rsid w:val="002162C3"/>
    <w:rsid w:val="00216814"/>
    <w:rsid w:val="00217201"/>
    <w:rsid w:val="002176AB"/>
    <w:rsid w:val="002209FF"/>
    <w:rsid w:val="00220BB7"/>
    <w:rsid w:val="00221D41"/>
    <w:rsid w:val="00222091"/>
    <w:rsid w:val="002221DB"/>
    <w:rsid w:val="0022257A"/>
    <w:rsid w:val="00222F30"/>
    <w:rsid w:val="00222F58"/>
    <w:rsid w:val="002238BB"/>
    <w:rsid w:val="0022433E"/>
    <w:rsid w:val="00224587"/>
    <w:rsid w:val="00224A40"/>
    <w:rsid w:val="002252EA"/>
    <w:rsid w:val="002253F3"/>
    <w:rsid w:val="002269BE"/>
    <w:rsid w:val="0022721B"/>
    <w:rsid w:val="00230ADE"/>
    <w:rsid w:val="00230CBD"/>
    <w:rsid w:val="0023106C"/>
    <w:rsid w:val="002310EA"/>
    <w:rsid w:val="00231198"/>
    <w:rsid w:val="00231A28"/>
    <w:rsid w:val="00231D6F"/>
    <w:rsid w:val="00232CC0"/>
    <w:rsid w:val="002333B2"/>
    <w:rsid w:val="002334DD"/>
    <w:rsid w:val="002336CA"/>
    <w:rsid w:val="002336DD"/>
    <w:rsid w:val="002338C8"/>
    <w:rsid w:val="002343F1"/>
    <w:rsid w:val="002348E0"/>
    <w:rsid w:val="00234BE8"/>
    <w:rsid w:val="00234F81"/>
    <w:rsid w:val="0023569C"/>
    <w:rsid w:val="00235771"/>
    <w:rsid w:val="00235887"/>
    <w:rsid w:val="0023656F"/>
    <w:rsid w:val="0023665A"/>
    <w:rsid w:val="00236673"/>
    <w:rsid w:val="00236801"/>
    <w:rsid w:val="002373DD"/>
    <w:rsid w:val="0023771A"/>
    <w:rsid w:val="0023785F"/>
    <w:rsid w:val="00237CB1"/>
    <w:rsid w:val="00237E9A"/>
    <w:rsid w:val="00240D30"/>
    <w:rsid w:val="00241031"/>
    <w:rsid w:val="00241817"/>
    <w:rsid w:val="00241B31"/>
    <w:rsid w:val="00241D3C"/>
    <w:rsid w:val="002424F9"/>
    <w:rsid w:val="00242864"/>
    <w:rsid w:val="00243F86"/>
    <w:rsid w:val="0024435B"/>
    <w:rsid w:val="002445FC"/>
    <w:rsid w:val="00244E5A"/>
    <w:rsid w:val="00245147"/>
    <w:rsid w:val="00245E98"/>
    <w:rsid w:val="002462B1"/>
    <w:rsid w:val="0024710F"/>
    <w:rsid w:val="002479EC"/>
    <w:rsid w:val="00247C85"/>
    <w:rsid w:val="00247F61"/>
    <w:rsid w:val="0025048F"/>
    <w:rsid w:val="00250A8E"/>
    <w:rsid w:val="00251D22"/>
    <w:rsid w:val="002523D9"/>
    <w:rsid w:val="00252E7B"/>
    <w:rsid w:val="002533E8"/>
    <w:rsid w:val="00254178"/>
    <w:rsid w:val="00255AD1"/>
    <w:rsid w:val="00256A5F"/>
    <w:rsid w:val="00256DC5"/>
    <w:rsid w:val="0025712E"/>
    <w:rsid w:val="00257673"/>
    <w:rsid w:val="00257A0C"/>
    <w:rsid w:val="00257A7D"/>
    <w:rsid w:val="00257D1C"/>
    <w:rsid w:val="0026018E"/>
    <w:rsid w:val="00260D2E"/>
    <w:rsid w:val="002616A6"/>
    <w:rsid w:val="00261FCC"/>
    <w:rsid w:val="00262FC7"/>
    <w:rsid w:val="0026330C"/>
    <w:rsid w:val="00263402"/>
    <w:rsid w:val="002635E1"/>
    <w:rsid w:val="0026378E"/>
    <w:rsid w:val="00263EF2"/>
    <w:rsid w:val="002645E6"/>
    <w:rsid w:val="002648DA"/>
    <w:rsid w:val="0026509C"/>
    <w:rsid w:val="00266269"/>
    <w:rsid w:val="0026627E"/>
    <w:rsid w:val="00266583"/>
    <w:rsid w:val="00266F7C"/>
    <w:rsid w:val="00267330"/>
    <w:rsid w:val="00267605"/>
    <w:rsid w:val="00267DA6"/>
    <w:rsid w:val="00270E96"/>
    <w:rsid w:val="00272622"/>
    <w:rsid w:val="0027286E"/>
    <w:rsid w:val="002729C7"/>
    <w:rsid w:val="00272BD3"/>
    <w:rsid w:val="00273620"/>
    <w:rsid w:val="002737E8"/>
    <w:rsid w:val="00273F74"/>
    <w:rsid w:val="00273F85"/>
    <w:rsid w:val="0027459A"/>
    <w:rsid w:val="0027553B"/>
    <w:rsid w:val="002759A8"/>
    <w:rsid w:val="00275FCC"/>
    <w:rsid w:val="00276091"/>
    <w:rsid w:val="00276359"/>
    <w:rsid w:val="0027700B"/>
    <w:rsid w:val="0027752E"/>
    <w:rsid w:val="00277DF1"/>
    <w:rsid w:val="00277FC2"/>
    <w:rsid w:val="002809FB"/>
    <w:rsid w:val="00280BC8"/>
    <w:rsid w:val="0028145D"/>
    <w:rsid w:val="002817E9"/>
    <w:rsid w:val="00281AC6"/>
    <w:rsid w:val="00283336"/>
    <w:rsid w:val="00283A2B"/>
    <w:rsid w:val="00283BF0"/>
    <w:rsid w:val="00284D0D"/>
    <w:rsid w:val="00284F65"/>
    <w:rsid w:val="002851D9"/>
    <w:rsid w:val="002853D1"/>
    <w:rsid w:val="0028560B"/>
    <w:rsid w:val="00285986"/>
    <w:rsid w:val="0028600C"/>
    <w:rsid w:val="0028657E"/>
    <w:rsid w:val="0028675F"/>
    <w:rsid w:val="00286867"/>
    <w:rsid w:val="00286A03"/>
    <w:rsid w:val="00286A95"/>
    <w:rsid w:val="00286CC8"/>
    <w:rsid w:val="00287022"/>
    <w:rsid w:val="00287610"/>
    <w:rsid w:val="002878E3"/>
    <w:rsid w:val="00287C7D"/>
    <w:rsid w:val="0029048E"/>
    <w:rsid w:val="002914A5"/>
    <w:rsid w:val="00291777"/>
    <w:rsid w:val="00291EFB"/>
    <w:rsid w:val="00292437"/>
    <w:rsid w:val="00292C3D"/>
    <w:rsid w:val="00292F83"/>
    <w:rsid w:val="002932A7"/>
    <w:rsid w:val="0029381C"/>
    <w:rsid w:val="00293EBE"/>
    <w:rsid w:val="00294E60"/>
    <w:rsid w:val="00294ED2"/>
    <w:rsid w:val="002953A5"/>
    <w:rsid w:val="00295864"/>
    <w:rsid w:val="0029609D"/>
    <w:rsid w:val="00296448"/>
    <w:rsid w:val="00296602"/>
    <w:rsid w:val="00297934"/>
    <w:rsid w:val="002A007B"/>
    <w:rsid w:val="002A06A5"/>
    <w:rsid w:val="002A08F2"/>
    <w:rsid w:val="002A0A3F"/>
    <w:rsid w:val="002A0D8F"/>
    <w:rsid w:val="002A0F55"/>
    <w:rsid w:val="002A111F"/>
    <w:rsid w:val="002A13A1"/>
    <w:rsid w:val="002A158E"/>
    <w:rsid w:val="002A1B9D"/>
    <w:rsid w:val="002A1D02"/>
    <w:rsid w:val="002A225B"/>
    <w:rsid w:val="002A2FC6"/>
    <w:rsid w:val="002A303C"/>
    <w:rsid w:val="002A3478"/>
    <w:rsid w:val="002A395E"/>
    <w:rsid w:val="002A47DF"/>
    <w:rsid w:val="002A49F6"/>
    <w:rsid w:val="002A4BE2"/>
    <w:rsid w:val="002A6137"/>
    <w:rsid w:val="002B0172"/>
    <w:rsid w:val="002B03A7"/>
    <w:rsid w:val="002B0E8B"/>
    <w:rsid w:val="002B138B"/>
    <w:rsid w:val="002B1769"/>
    <w:rsid w:val="002B20CF"/>
    <w:rsid w:val="002B2CA8"/>
    <w:rsid w:val="002B2D6D"/>
    <w:rsid w:val="002B2FF4"/>
    <w:rsid w:val="002B3CEE"/>
    <w:rsid w:val="002B3D1A"/>
    <w:rsid w:val="002B414D"/>
    <w:rsid w:val="002B451F"/>
    <w:rsid w:val="002B481A"/>
    <w:rsid w:val="002B57FC"/>
    <w:rsid w:val="002B64E8"/>
    <w:rsid w:val="002B6ADC"/>
    <w:rsid w:val="002B6D9A"/>
    <w:rsid w:val="002B6E53"/>
    <w:rsid w:val="002B70A6"/>
    <w:rsid w:val="002B743F"/>
    <w:rsid w:val="002B79B3"/>
    <w:rsid w:val="002B7CAD"/>
    <w:rsid w:val="002B7F3C"/>
    <w:rsid w:val="002C025E"/>
    <w:rsid w:val="002C044F"/>
    <w:rsid w:val="002C0702"/>
    <w:rsid w:val="002C0F04"/>
    <w:rsid w:val="002C15C8"/>
    <w:rsid w:val="002C19E6"/>
    <w:rsid w:val="002C2FC0"/>
    <w:rsid w:val="002C30FB"/>
    <w:rsid w:val="002C40C5"/>
    <w:rsid w:val="002C43FA"/>
    <w:rsid w:val="002C52E5"/>
    <w:rsid w:val="002C5690"/>
    <w:rsid w:val="002C5D47"/>
    <w:rsid w:val="002C6529"/>
    <w:rsid w:val="002C69F3"/>
    <w:rsid w:val="002C7086"/>
    <w:rsid w:val="002C7BD2"/>
    <w:rsid w:val="002C7CE4"/>
    <w:rsid w:val="002C7D5B"/>
    <w:rsid w:val="002D047A"/>
    <w:rsid w:val="002D077E"/>
    <w:rsid w:val="002D0C1D"/>
    <w:rsid w:val="002D1A19"/>
    <w:rsid w:val="002D1B5B"/>
    <w:rsid w:val="002D2B65"/>
    <w:rsid w:val="002D2E92"/>
    <w:rsid w:val="002D2EBD"/>
    <w:rsid w:val="002D332A"/>
    <w:rsid w:val="002D3A78"/>
    <w:rsid w:val="002D3B4E"/>
    <w:rsid w:val="002D3ECD"/>
    <w:rsid w:val="002D3FD6"/>
    <w:rsid w:val="002D4333"/>
    <w:rsid w:val="002D47F8"/>
    <w:rsid w:val="002D5CB1"/>
    <w:rsid w:val="002D5D0E"/>
    <w:rsid w:val="002D7822"/>
    <w:rsid w:val="002D7A66"/>
    <w:rsid w:val="002D7CB6"/>
    <w:rsid w:val="002E07EE"/>
    <w:rsid w:val="002E1BDD"/>
    <w:rsid w:val="002E2B77"/>
    <w:rsid w:val="002E334D"/>
    <w:rsid w:val="002E3BB2"/>
    <w:rsid w:val="002E4193"/>
    <w:rsid w:val="002E41C7"/>
    <w:rsid w:val="002E4275"/>
    <w:rsid w:val="002E4279"/>
    <w:rsid w:val="002E4E10"/>
    <w:rsid w:val="002E4EBA"/>
    <w:rsid w:val="002E500F"/>
    <w:rsid w:val="002E51B5"/>
    <w:rsid w:val="002E523F"/>
    <w:rsid w:val="002E58A6"/>
    <w:rsid w:val="002E5B6A"/>
    <w:rsid w:val="002E642C"/>
    <w:rsid w:val="002E66C0"/>
    <w:rsid w:val="002E6F5D"/>
    <w:rsid w:val="002E7468"/>
    <w:rsid w:val="002E7B75"/>
    <w:rsid w:val="002F0244"/>
    <w:rsid w:val="002F071E"/>
    <w:rsid w:val="002F1FAC"/>
    <w:rsid w:val="002F27C9"/>
    <w:rsid w:val="002F3246"/>
    <w:rsid w:val="002F3AC6"/>
    <w:rsid w:val="002F3BE4"/>
    <w:rsid w:val="002F3CD2"/>
    <w:rsid w:val="002F41AC"/>
    <w:rsid w:val="002F4509"/>
    <w:rsid w:val="002F464A"/>
    <w:rsid w:val="002F4E04"/>
    <w:rsid w:val="002F5B88"/>
    <w:rsid w:val="002F6349"/>
    <w:rsid w:val="002F6409"/>
    <w:rsid w:val="002F7289"/>
    <w:rsid w:val="002F75F9"/>
    <w:rsid w:val="002F7C2E"/>
    <w:rsid w:val="00300F23"/>
    <w:rsid w:val="00301DA1"/>
    <w:rsid w:val="00302746"/>
    <w:rsid w:val="00302A49"/>
    <w:rsid w:val="00303177"/>
    <w:rsid w:val="00303265"/>
    <w:rsid w:val="00303DE2"/>
    <w:rsid w:val="00304039"/>
    <w:rsid w:val="0030432E"/>
    <w:rsid w:val="003046A0"/>
    <w:rsid w:val="003049AC"/>
    <w:rsid w:val="00304EEA"/>
    <w:rsid w:val="00305675"/>
    <w:rsid w:val="003060F7"/>
    <w:rsid w:val="003064A0"/>
    <w:rsid w:val="0030653C"/>
    <w:rsid w:val="00306628"/>
    <w:rsid w:val="00307F4E"/>
    <w:rsid w:val="00310C84"/>
    <w:rsid w:val="00310FC9"/>
    <w:rsid w:val="003119BA"/>
    <w:rsid w:val="003119D9"/>
    <w:rsid w:val="00311F78"/>
    <w:rsid w:val="003129F9"/>
    <w:rsid w:val="00312EFD"/>
    <w:rsid w:val="00313B55"/>
    <w:rsid w:val="00313EF7"/>
    <w:rsid w:val="00314114"/>
    <w:rsid w:val="0031476E"/>
    <w:rsid w:val="0031487A"/>
    <w:rsid w:val="003149CF"/>
    <w:rsid w:val="003166E4"/>
    <w:rsid w:val="00317336"/>
    <w:rsid w:val="003202C8"/>
    <w:rsid w:val="00321DDE"/>
    <w:rsid w:val="003229E5"/>
    <w:rsid w:val="003236F2"/>
    <w:rsid w:val="003239D2"/>
    <w:rsid w:val="00323D2F"/>
    <w:rsid w:val="00323EE4"/>
    <w:rsid w:val="00324094"/>
    <w:rsid w:val="00324333"/>
    <w:rsid w:val="00324A2B"/>
    <w:rsid w:val="00324A2D"/>
    <w:rsid w:val="00324AEA"/>
    <w:rsid w:val="00325022"/>
    <w:rsid w:val="003254D6"/>
    <w:rsid w:val="00325CE8"/>
    <w:rsid w:val="00325EC0"/>
    <w:rsid w:val="00326525"/>
    <w:rsid w:val="003275C8"/>
    <w:rsid w:val="003276F4"/>
    <w:rsid w:val="00327EAA"/>
    <w:rsid w:val="00330E21"/>
    <w:rsid w:val="00330FF3"/>
    <w:rsid w:val="0033126C"/>
    <w:rsid w:val="00331CE1"/>
    <w:rsid w:val="003320A9"/>
    <w:rsid w:val="0033220E"/>
    <w:rsid w:val="00332374"/>
    <w:rsid w:val="00332960"/>
    <w:rsid w:val="0033323F"/>
    <w:rsid w:val="0033359E"/>
    <w:rsid w:val="0033429C"/>
    <w:rsid w:val="003345B1"/>
    <w:rsid w:val="003351C1"/>
    <w:rsid w:val="00335B22"/>
    <w:rsid w:val="00335BE5"/>
    <w:rsid w:val="00335BF0"/>
    <w:rsid w:val="0033605C"/>
    <w:rsid w:val="003361D3"/>
    <w:rsid w:val="00336EA0"/>
    <w:rsid w:val="0033703A"/>
    <w:rsid w:val="00337120"/>
    <w:rsid w:val="00337DC0"/>
    <w:rsid w:val="00340228"/>
    <w:rsid w:val="00340FA7"/>
    <w:rsid w:val="0034146E"/>
    <w:rsid w:val="00342B49"/>
    <w:rsid w:val="003433ED"/>
    <w:rsid w:val="00343585"/>
    <w:rsid w:val="0034376E"/>
    <w:rsid w:val="00343CC1"/>
    <w:rsid w:val="00344012"/>
    <w:rsid w:val="00344586"/>
    <w:rsid w:val="003446BC"/>
    <w:rsid w:val="00345507"/>
    <w:rsid w:val="00345702"/>
    <w:rsid w:val="00345F9D"/>
    <w:rsid w:val="003461BA"/>
    <w:rsid w:val="00346313"/>
    <w:rsid w:val="0034682E"/>
    <w:rsid w:val="003475C5"/>
    <w:rsid w:val="00347EE9"/>
    <w:rsid w:val="003505E6"/>
    <w:rsid w:val="00350621"/>
    <w:rsid w:val="00350880"/>
    <w:rsid w:val="00350955"/>
    <w:rsid w:val="00350D5E"/>
    <w:rsid w:val="00350F51"/>
    <w:rsid w:val="0035128C"/>
    <w:rsid w:val="003512A8"/>
    <w:rsid w:val="00351878"/>
    <w:rsid w:val="003524DF"/>
    <w:rsid w:val="00352684"/>
    <w:rsid w:val="00352A5D"/>
    <w:rsid w:val="00353231"/>
    <w:rsid w:val="00355094"/>
    <w:rsid w:val="003550AC"/>
    <w:rsid w:val="00355537"/>
    <w:rsid w:val="003559F3"/>
    <w:rsid w:val="00355A72"/>
    <w:rsid w:val="00356000"/>
    <w:rsid w:val="003563C4"/>
    <w:rsid w:val="00356873"/>
    <w:rsid w:val="003579FC"/>
    <w:rsid w:val="0036015F"/>
    <w:rsid w:val="003602DE"/>
    <w:rsid w:val="003607E8"/>
    <w:rsid w:val="00360B9A"/>
    <w:rsid w:val="00360C42"/>
    <w:rsid w:val="003611B0"/>
    <w:rsid w:val="00362131"/>
    <w:rsid w:val="00362307"/>
    <w:rsid w:val="00362308"/>
    <w:rsid w:val="003626CF"/>
    <w:rsid w:val="00362A56"/>
    <w:rsid w:val="00362F9D"/>
    <w:rsid w:val="003635EF"/>
    <w:rsid w:val="003635FB"/>
    <w:rsid w:val="00363F6B"/>
    <w:rsid w:val="003640D3"/>
    <w:rsid w:val="00364170"/>
    <w:rsid w:val="003641D2"/>
    <w:rsid w:val="00364B50"/>
    <w:rsid w:val="00364FD9"/>
    <w:rsid w:val="0036539C"/>
    <w:rsid w:val="003654CF"/>
    <w:rsid w:val="00365531"/>
    <w:rsid w:val="00365CE3"/>
    <w:rsid w:val="003664E7"/>
    <w:rsid w:val="00366AC8"/>
    <w:rsid w:val="00366C7D"/>
    <w:rsid w:val="00366EFD"/>
    <w:rsid w:val="003678F0"/>
    <w:rsid w:val="00370370"/>
    <w:rsid w:val="00371AD2"/>
    <w:rsid w:val="00372B08"/>
    <w:rsid w:val="00372B28"/>
    <w:rsid w:val="00372EE1"/>
    <w:rsid w:val="00372FBB"/>
    <w:rsid w:val="00373010"/>
    <w:rsid w:val="00373460"/>
    <w:rsid w:val="00373A2A"/>
    <w:rsid w:val="00373F39"/>
    <w:rsid w:val="00374496"/>
    <w:rsid w:val="00374751"/>
    <w:rsid w:val="00374766"/>
    <w:rsid w:val="003747C8"/>
    <w:rsid w:val="00375190"/>
    <w:rsid w:val="00375327"/>
    <w:rsid w:val="00375554"/>
    <w:rsid w:val="00375DC8"/>
    <w:rsid w:val="003764DA"/>
    <w:rsid w:val="003770DF"/>
    <w:rsid w:val="00377525"/>
    <w:rsid w:val="00377DEA"/>
    <w:rsid w:val="00380D69"/>
    <w:rsid w:val="0038115B"/>
    <w:rsid w:val="0038251B"/>
    <w:rsid w:val="00382A42"/>
    <w:rsid w:val="00382E34"/>
    <w:rsid w:val="00382E94"/>
    <w:rsid w:val="00382F6D"/>
    <w:rsid w:val="003834C1"/>
    <w:rsid w:val="0038392D"/>
    <w:rsid w:val="00383AC2"/>
    <w:rsid w:val="00384212"/>
    <w:rsid w:val="00384CB2"/>
    <w:rsid w:val="00384E58"/>
    <w:rsid w:val="0038513A"/>
    <w:rsid w:val="003864B3"/>
    <w:rsid w:val="00387146"/>
    <w:rsid w:val="003872C6"/>
    <w:rsid w:val="003901F6"/>
    <w:rsid w:val="00390666"/>
    <w:rsid w:val="00390ED5"/>
    <w:rsid w:val="00390F1F"/>
    <w:rsid w:val="0039175B"/>
    <w:rsid w:val="0039178E"/>
    <w:rsid w:val="00391893"/>
    <w:rsid w:val="003919CD"/>
    <w:rsid w:val="003919D9"/>
    <w:rsid w:val="00391ED1"/>
    <w:rsid w:val="00392AD1"/>
    <w:rsid w:val="00393125"/>
    <w:rsid w:val="00393759"/>
    <w:rsid w:val="00393AFE"/>
    <w:rsid w:val="00393C96"/>
    <w:rsid w:val="00394A70"/>
    <w:rsid w:val="00394F55"/>
    <w:rsid w:val="00394F73"/>
    <w:rsid w:val="00394FA7"/>
    <w:rsid w:val="00395BA4"/>
    <w:rsid w:val="00396900"/>
    <w:rsid w:val="00396D5D"/>
    <w:rsid w:val="00397825"/>
    <w:rsid w:val="003979C9"/>
    <w:rsid w:val="00397A0C"/>
    <w:rsid w:val="00397C93"/>
    <w:rsid w:val="00397F47"/>
    <w:rsid w:val="003A0591"/>
    <w:rsid w:val="003A0800"/>
    <w:rsid w:val="003A0D8A"/>
    <w:rsid w:val="003A0E84"/>
    <w:rsid w:val="003A15FA"/>
    <w:rsid w:val="003A309B"/>
    <w:rsid w:val="003A4B7B"/>
    <w:rsid w:val="003A528B"/>
    <w:rsid w:val="003A5AA3"/>
    <w:rsid w:val="003A617F"/>
    <w:rsid w:val="003A668D"/>
    <w:rsid w:val="003A6BFA"/>
    <w:rsid w:val="003A6C2A"/>
    <w:rsid w:val="003A7161"/>
    <w:rsid w:val="003B0881"/>
    <w:rsid w:val="003B1152"/>
    <w:rsid w:val="003B1C7A"/>
    <w:rsid w:val="003B23E9"/>
    <w:rsid w:val="003B2EDB"/>
    <w:rsid w:val="003B36FE"/>
    <w:rsid w:val="003B4123"/>
    <w:rsid w:val="003B4A07"/>
    <w:rsid w:val="003B4EFB"/>
    <w:rsid w:val="003B534E"/>
    <w:rsid w:val="003B56B7"/>
    <w:rsid w:val="003B5814"/>
    <w:rsid w:val="003B5F32"/>
    <w:rsid w:val="003B6AEF"/>
    <w:rsid w:val="003B6E4C"/>
    <w:rsid w:val="003B704C"/>
    <w:rsid w:val="003C09E2"/>
    <w:rsid w:val="003C0A71"/>
    <w:rsid w:val="003C14E2"/>
    <w:rsid w:val="003C2EC3"/>
    <w:rsid w:val="003C333D"/>
    <w:rsid w:val="003C3CCA"/>
    <w:rsid w:val="003C455E"/>
    <w:rsid w:val="003C4AA5"/>
    <w:rsid w:val="003C6021"/>
    <w:rsid w:val="003C614D"/>
    <w:rsid w:val="003C6461"/>
    <w:rsid w:val="003C6BD8"/>
    <w:rsid w:val="003C6F08"/>
    <w:rsid w:val="003C78B3"/>
    <w:rsid w:val="003C7C40"/>
    <w:rsid w:val="003D0F32"/>
    <w:rsid w:val="003D11C5"/>
    <w:rsid w:val="003D1762"/>
    <w:rsid w:val="003D1EC0"/>
    <w:rsid w:val="003D351B"/>
    <w:rsid w:val="003D3B0F"/>
    <w:rsid w:val="003D4625"/>
    <w:rsid w:val="003D46AA"/>
    <w:rsid w:val="003D4F65"/>
    <w:rsid w:val="003D5AAA"/>
    <w:rsid w:val="003D5CD7"/>
    <w:rsid w:val="003D6439"/>
    <w:rsid w:val="003D6454"/>
    <w:rsid w:val="003D6798"/>
    <w:rsid w:val="003D6944"/>
    <w:rsid w:val="003D7657"/>
    <w:rsid w:val="003D7AFB"/>
    <w:rsid w:val="003E0139"/>
    <w:rsid w:val="003E060C"/>
    <w:rsid w:val="003E0B25"/>
    <w:rsid w:val="003E0F72"/>
    <w:rsid w:val="003E1783"/>
    <w:rsid w:val="003E1FC4"/>
    <w:rsid w:val="003E2A1B"/>
    <w:rsid w:val="003E321A"/>
    <w:rsid w:val="003E355A"/>
    <w:rsid w:val="003E36E1"/>
    <w:rsid w:val="003E36EE"/>
    <w:rsid w:val="003E401C"/>
    <w:rsid w:val="003E40E9"/>
    <w:rsid w:val="003E4108"/>
    <w:rsid w:val="003E4408"/>
    <w:rsid w:val="003E4943"/>
    <w:rsid w:val="003E5125"/>
    <w:rsid w:val="003E6452"/>
    <w:rsid w:val="003E6C4C"/>
    <w:rsid w:val="003E7617"/>
    <w:rsid w:val="003E7CEC"/>
    <w:rsid w:val="003F1696"/>
    <w:rsid w:val="003F1870"/>
    <w:rsid w:val="003F1AD1"/>
    <w:rsid w:val="003F2503"/>
    <w:rsid w:val="003F2BFA"/>
    <w:rsid w:val="003F37C9"/>
    <w:rsid w:val="003F5D32"/>
    <w:rsid w:val="003F60D5"/>
    <w:rsid w:val="003F61A4"/>
    <w:rsid w:val="003F7105"/>
    <w:rsid w:val="003F7CBF"/>
    <w:rsid w:val="003F7EB4"/>
    <w:rsid w:val="003F7FFD"/>
    <w:rsid w:val="0040077D"/>
    <w:rsid w:val="00400ED9"/>
    <w:rsid w:val="00401640"/>
    <w:rsid w:val="00401FFE"/>
    <w:rsid w:val="004021BD"/>
    <w:rsid w:val="00402A4C"/>
    <w:rsid w:val="00402C5F"/>
    <w:rsid w:val="0040312A"/>
    <w:rsid w:val="00404BED"/>
    <w:rsid w:val="0040600E"/>
    <w:rsid w:val="00406A5B"/>
    <w:rsid w:val="004071EF"/>
    <w:rsid w:val="00407A53"/>
    <w:rsid w:val="00407B9D"/>
    <w:rsid w:val="00410020"/>
    <w:rsid w:val="00410448"/>
    <w:rsid w:val="00410CC0"/>
    <w:rsid w:val="00410EE0"/>
    <w:rsid w:val="004113D5"/>
    <w:rsid w:val="00411B2F"/>
    <w:rsid w:val="00412395"/>
    <w:rsid w:val="0041246C"/>
    <w:rsid w:val="004126AF"/>
    <w:rsid w:val="00412C87"/>
    <w:rsid w:val="00412E8B"/>
    <w:rsid w:val="00413AA9"/>
    <w:rsid w:val="00413D45"/>
    <w:rsid w:val="00413F45"/>
    <w:rsid w:val="00414351"/>
    <w:rsid w:val="0041460B"/>
    <w:rsid w:val="00415B11"/>
    <w:rsid w:val="00415EF8"/>
    <w:rsid w:val="00415F4B"/>
    <w:rsid w:val="004165FF"/>
    <w:rsid w:val="004167BF"/>
    <w:rsid w:val="00416C79"/>
    <w:rsid w:val="00416E49"/>
    <w:rsid w:val="0041716E"/>
    <w:rsid w:val="004173FF"/>
    <w:rsid w:val="004178C1"/>
    <w:rsid w:val="00417D96"/>
    <w:rsid w:val="004203B0"/>
    <w:rsid w:val="00421541"/>
    <w:rsid w:val="00421B4E"/>
    <w:rsid w:val="00421B58"/>
    <w:rsid w:val="0042233B"/>
    <w:rsid w:val="004229E1"/>
    <w:rsid w:val="00422AAB"/>
    <w:rsid w:val="00423C1A"/>
    <w:rsid w:val="00423C74"/>
    <w:rsid w:val="004240F1"/>
    <w:rsid w:val="00424156"/>
    <w:rsid w:val="004258A1"/>
    <w:rsid w:val="0042598D"/>
    <w:rsid w:val="00425A32"/>
    <w:rsid w:val="0042668B"/>
    <w:rsid w:val="0042687C"/>
    <w:rsid w:val="00426E20"/>
    <w:rsid w:val="00427362"/>
    <w:rsid w:val="004276F6"/>
    <w:rsid w:val="00427B97"/>
    <w:rsid w:val="0043062D"/>
    <w:rsid w:val="0043065D"/>
    <w:rsid w:val="0043078A"/>
    <w:rsid w:val="004320A2"/>
    <w:rsid w:val="00432597"/>
    <w:rsid w:val="00432AFD"/>
    <w:rsid w:val="00432B12"/>
    <w:rsid w:val="0043306D"/>
    <w:rsid w:val="0043332A"/>
    <w:rsid w:val="00433595"/>
    <w:rsid w:val="00433A06"/>
    <w:rsid w:val="00433CE2"/>
    <w:rsid w:val="0043403D"/>
    <w:rsid w:val="00434F70"/>
    <w:rsid w:val="00435005"/>
    <w:rsid w:val="00435359"/>
    <w:rsid w:val="00436597"/>
    <w:rsid w:val="004370B0"/>
    <w:rsid w:val="00437A79"/>
    <w:rsid w:val="00437C15"/>
    <w:rsid w:val="00437DC0"/>
    <w:rsid w:val="004408A8"/>
    <w:rsid w:val="00440936"/>
    <w:rsid w:val="00440EC1"/>
    <w:rsid w:val="004413B8"/>
    <w:rsid w:val="0044141F"/>
    <w:rsid w:val="004418AD"/>
    <w:rsid w:val="0044231F"/>
    <w:rsid w:val="00442596"/>
    <w:rsid w:val="0044276E"/>
    <w:rsid w:val="00442FAA"/>
    <w:rsid w:val="00443131"/>
    <w:rsid w:val="0044348E"/>
    <w:rsid w:val="004437AC"/>
    <w:rsid w:val="00443A62"/>
    <w:rsid w:val="00444215"/>
    <w:rsid w:val="004446DC"/>
    <w:rsid w:val="0044477E"/>
    <w:rsid w:val="004449DA"/>
    <w:rsid w:val="00444CB6"/>
    <w:rsid w:val="00445049"/>
    <w:rsid w:val="004454F5"/>
    <w:rsid w:val="0044588F"/>
    <w:rsid w:val="00445ABF"/>
    <w:rsid w:val="0044605B"/>
    <w:rsid w:val="00446870"/>
    <w:rsid w:val="004468B4"/>
    <w:rsid w:val="004469D6"/>
    <w:rsid w:val="004505ED"/>
    <w:rsid w:val="004505F5"/>
    <w:rsid w:val="004508A2"/>
    <w:rsid w:val="004512EE"/>
    <w:rsid w:val="004518D5"/>
    <w:rsid w:val="00451D4C"/>
    <w:rsid w:val="00451DC0"/>
    <w:rsid w:val="004525A2"/>
    <w:rsid w:val="004528F2"/>
    <w:rsid w:val="00452C11"/>
    <w:rsid w:val="00453991"/>
    <w:rsid w:val="00453AB4"/>
    <w:rsid w:val="00453BCB"/>
    <w:rsid w:val="00453CCC"/>
    <w:rsid w:val="00454C4D"/>
    <w:rsid w:val="00454DB3"/>
    <w:rsid w:val="00454E5E"/>
    <w:rsid w:val="00455954"/>
    <w:rsid w:val="00455ADD"/>
    <w:rsid w:val="004567C8"/>
    <w:rsid w:val="00457750"/>
    <w:rsid w:val="00457C32"/>
    <w:rsid w:val="00460026"/>
    <w:rsid w:val="0046054D"/>
    <w:rsid w:val="004606C3"/>
    <w:rsid w:val="00460C50"/>
    <w:rsid w:val="00461338"/>
    <w:rsid w:val="004620D2"/>
    <w:rsid w:val="00462C36"/>
    <w:rsid w:val="00462E46"/>
    <w:rsid w:val="00463411"/>
    <w:rsid w:val="00463882"/>
    <w:rsid w:val="004640DA"/>
    <w:rsid w:val="0046430F"/>
    <w:rsid w:val="00464B0E"/>
    <w:rsid w:val="0046519C"/>
    <w:rsid w:val="0046553B"/>
    <w:rsid w:val="00465679"/>
    <w:rsid w:val="00465EC0"/>
    <w:rsid w:val="0046617B"/>
    <w:rsid w:val="00467285"/>
    <w:rsid w:val="00467835"/>
    <w:rsid w:val="00467FA9"/>
    <w:rsid w:val="004705A2"/>
    <w:rsid w:val="004705B7"/>
    <w:rsid w:val="00470FCD"/>
    <w:rsid w:val="00471392"/>
    <w:rsid w:val="00472196"/>
    <w:rsid w:val="004728F0"/>
    <w:rsid w:val="00473F97"/>
    <w:rsid w:val="00474837"/>
    <w:rsid w:val="00474D8E"/>
    <w:rsid w:val="00474EAC"/>
    <w:rsid w:val="00475D7E"/>
    <w:rsid w:val="00475F3E"/>
    <w:rsid w:val="00476A7B"/>
    <w:rsid w:val="0047709B"/>
    <w:rsid w:val="00477BDB"/>
    <w:rsid w:val="00477DC4"/>
    <w:rsid w:val="00477F91"/>
    <w:rsid w:val="004801A2"/>
    <w:rsid w:val="00480480"/>
    <w:rsid w:val="00480BDC"/>
    <w:rsid w:val="00481405"/>
    <w:rsid w:val="00481966"/>
    <w:rsid w:val="00481FB6"/>
    <w:rsid w:val="004824CB"/>
    <w:rsid w:val="00482A9A"/>
    <w:rsid w:val="00482D43"/>
    <w:rsid w:val="00482ED5"/>
    <w:rsid w:val="00483595"/>
    <w:rsid w:val="00483677"/>
    <w:rsid w:val="00483FD9"/>
    <w:rsid w:val="00484133"/>
    <w:rsid w:val="004845B7"/>
    <w:rsid w:val="00484800"/>
    <w:rsid w:val="0048531B"/>
    <w:rsid w:val="0048599C"/>
    <w:rsid w:val="00485A35"/>
    <w:rsid w:val="00485B2B"/>
    <w:rsid w:val="00485F8A"/>
    <w:rsid w:val="00486499"/>
    <w:rsid w:val="00486616"/>
    <w:rsid w:val="00487361"/>
    <w:rsid w:val="0048737C"/>
    <w:rsid w:val="004904BD"/>
    <w:rsid w:val="00490D19"/>
    <w:rsid w:val="0049133B"/>
    <w:rsid w:val="00491782"/>
    <w:rsid w:val="00492A05"/>
    <w:rsid w:val="00492F6C"/>
    <w:rsid w:val="00493E95"/>
    <w:rsid w:val="00494845"/>
    <w:rsid w:val="00495001"/>
    <w:rsid w:val="004953B4"/>
    <w:rsid w:val="004956CF"/>
    <w:rsid w:val="00495796"/>
    <w:rsid w:val="00495E9C"/>
    <w:rsid w:val="004961D4"/>
    <w:rsid w:val="004963B5"/>
    <w:rsid w:val="00496653"/>
    <w:rsid w:val="00496A72"/>
    <w:rsid w:val="004A03E0"/>
    <w:rsid w:val="004A05A1"/>
    <w:rsid w:val="004A0804"/>
    <w:rsid w:val="004A0B36"/>
    <w:rsid w:val="004A0B6A"/>
    <w:rsid w:val="004A0C9C"/>
    <w:rsid w:val="004A13EA"/>
    <w:rsid w:val="004A2503"/>
    <w:rsid w:val="004A281F"/>
    <w:rsid w:val="004A292F"/>
    <w:rsid w:val="004A3C93"/>
    <w:rsid w:val="004A3CDB"/>
    <w:rsid w:val="004A4698"/>
    <w:rsid w:val="004A4BDD"/>
    <w:rsid w:val="004A4E01"/>
    <w:rsid w:val="004A4E17"/>
    <w:rsid w:val="004A4E92"/>
    <w:rsid w:val="004A5302"/>
    <w:rsid w:val="004A5AAC"/>
    <w:rsid w:val="004A5E1D"/>
    <w:rsid w:val="004A5F57"/>
    <w:rsid w:val="004A671F"/>
    <w:rsid w:val="004A7265"/>
    <w:rsid w:val="004A72A2"/>
    <w:rsid w:val="004A7367"/>
    <w:rsid w:val="004A7802"/>
    <w:rsid w:val="004A7E8B"/>
    <w:rsid w:val="004B069B"/>
    <w:rsid w:val="004B0BA3"/>
    <w:rsid w:val="004B1022"/>
    <w:rsid w:val="004B270F"/>
    <w:rsid w:val="004B2745"/>
    <w:rsid w:val="004B2C81"/>
    <w:rsid w:val="004B3136"/>
    <w:rsid w:val="004B34F9"/>
    <w:rsid w:val="004B3783"/>
    <w:rsid w:val="004B3A4D"/>
    <w:rsid w:val="004B3AFB"/>
    <w:rsid w:val="004B3E7D"/>
    <w:rsid w:val="004B3ED3"/>
    <w:rsid w:val="004B4848"/>
    <w:rsid w:val="004B4B67"/>
    <w:rsid w:val="004B500F"/>
    <w:rsid w:val="004B513F"/>
    <w:rsid w:val="004B5576"/>
    <w:rsid w:val="004B5685"/>
    <w:rsid w:val="004B58AD"/>
    <w:rsid w:val="004B5D59"/>
    <w:rsid w:val="004B5F84"/>
    <w:rsid w:val="004B6257"/>
    <w:rsid w:val="004B6879"/>
    <w:rsid w:val="004B6C96"/>
    <w:rsid w:val="004B6E54"/>
    <w:rsid w:val="004B6E73"/>
    <w:rsid w:val="004B7198"/>
    <w:rsid w:val="004B71E4"/>
    <w:rsid w:val="004B720D"/>
    <w:rsid w:val="004B7C82"/>
    <w:rsid w:val="004C0528"/>
    <w:rsid w:val="004C0FE5"/>
    <w:rsid w:val="004C0FE7"/>
    <w:rsid w:val="004C1135"/>
    <w:rsid w:val="004C1D18"/>
    <w:rsid w:val="004C248C"/>
    <w:rsid w:val="004C3097"/>
    <w:rsid w:val="004C3938"/>
    <w:rsid w:val="004C3ECE"/>
    <w:rsid w:val="004C4027"/>
    <w:rsid w:val="004C4151"/>
    <w:rsid w:val="004C553C"/>
    <w:rsid w:val="004C59F9"/>
    <w:rsid w:val="004C6F6E"/>
    <w:rsid w:val="004C7107"/>
    <w:rsid w:val="004C72C1"/>
    <w:rsid w:val="004C7842"/>
    <w:rsid w:val="004C79AE"/>
    <w:rsid w:val="004C7E46"/>
    <w:rsid w:val="004D0435"/>
    <w:rsid w:val="004D0A16"/>
    <w:rsid w:val="004D0D07"/>
    <w:rsid w:val="004D0D26"/>
    <w:rsid w:val="004D17F3"/>
    <w:rsid w:val="004D1F3A"/>
    <w:rsid w:val="004D1F5C"/>
    <w:rsid w:val="004D2008"/>
    <w:rsid w:val="004D20AA"/>
    <w:rsid w:val="004D25F4"/>
    <w:rsid w:val="004D2974"/>
    <w:rsid w:val="004D2EB9"/>
    <w:rsid w:val="004D33DE"/>
    <w:rsid w:val="004D3826"/>
    <w:rsid w:val="004D3956"/>
    <w:rsid w:val="004D4A8C"/>
    <w:rsid w:val="004D4B5D"/>
    <w:rsid w:val="004D51EA"/>
    <w:rsid w:val="004D5A83"/>
    <w:rsid w:val="004D601F"/>
    <w:rsid w:val="004D6EDF"/>
    <w:rsid w:val="004D766E"/>
    <w:rsid w:val="004D76DD"/>
    <w:rsid w:val="004D778B"/>
    <w:rsid w:val="004D778C"/>
    <w:rsid w:val="004D7E3D"/>
    <w:rsid w:val="004E0360"/>
    <w:rsid w:val="004E0A92"/>
    <w:rsid w:val="004E0D5D"/>
    <w:rsid w:val="004E18BE"/>
    <w:rsid w:val="004E1E97"/>
    <w:rsid w:val="004E203C"/>
    <w:rsid w:val="004E25E7"/>
    <w:rsid w:val="004E2B5B"/>
    <w:rsid w:val="004E315B"/>
    <w:rsid w:val="004E37A2"/>
    <w:rsid w:val="004E4572"/>
    <w:rsid w:val="004E4D18"/>
    <w:rsid w:val="004E524D"/>
    <w:rsid w:val="004E6891"/>
    <w:rsid w:val="004E7032"/>
    <w:rsid w:val="004E7668"/>
    <w:rsid w:val="004F0CAC"/>
    <w:rsid w:val="004F185F"/>
    <w:rsid w:val="004F1D90"/>
    <w:rsid w:val="004F1E46"/>
    <w:rsid w:val="004F202E"/>
    <w:rsid w:val="004F2201"/>
    <w:rsid w:val="004F28E9"/>
    <w:rsid w:val="004F2AF4"/>
    <w:rsid w:val="004F2D86"/>
    <w:rsid w:val="004F2EC3"/>
    <w:rsid w:val="004F3096"/>
    <w:rsid w:val="004F30F0"/>
    <w:rsid w:val="004F32A7"/>
    <w:rsid w:val="004F33F0"/>
    <w:rsid w:val="004F3FE4"/>
    <w:rsid w:val="004F451A"/>
    <w:rsid w:val="004F4760"/>
    <w:rsid w:val="004F47CF"/>
    <w:rsid w:val="004F5896"/>
    <w:rsid w:val="004F5DD5"/>
    <w:rsid w:val="004F63BD"/>
    <w:rsid w:val="004F7578"/>
    <w:rsid w:val="004F7BF8"/>
    <w:rsid w:val="004F7D9A"/>
    <w:rsid w:val="00500240"/>
    <w:rsid w:val="00500692"/>
    <w:rsid w:val="005007DF"/>
    <w:rsid w:val="00500835"/>
    <w:rsid w:val="0050092A"/>
    <w:rsid w:val="00500A7D"/>
    <w:rsid w:val="00500BFC"/>
    <w:rsid w:val="00500E9F"/>
    <w:rsid w:val="00501171"/>
    <w:rsid w:val="005014B3"/>
    <w:rsid w:val="00501508"/>
    <w:rsid w:val="00501527"/>
    <w:rsid w:val="0050199A"/>
    <w:rsid w:val="00501C71"/>
    <w:rsid w:val="0050283B"/>
    <w:rsid w:val="005029E5"/>
    <w:rsid w:val="00503076"/>
    <w:rsid w:val="00503207"/>
    <w:rsid w:val="00503334"/>
    <w:rsid w:val="00503496"/>
    <w:rsid w:val="0050370B"/>
    <w:rsid w:val="00503CA6"/>
    <w:rsid w:val="00503EC2"/>
    <w:rsid w:val="00506935"/>
    <w:rsid w:val="00506ABE"/>
    <w:rsid w:val="00506BC6"/>
    <w:rsid w:val="00506F86"/>
    <w:rsid w:val="00507881"/>
    <w:rsid w:val="00507907"/>
    <w:rsid w:val="0051004F"/>
    <w:rsid w:val="005110CF"/>
    <w:rsid w:val="005110EB"/>
    <w:rsid w:val="00511304"/>
    <w:rsid w:val="0051152F"/>
    <w:rsid w:val="00511EF3"/>
    <w:rsid w:val="00512FEF"/>
    <w:rsid w:val="00513311"/>
    <w:rsid w:val="0051359B"/>
    <w:rsid w:val="0051403C"/>
    <w:rsid w:val="0051520F"/>
    <w:rsid w:val="00515BBC"/>
    <w:rsid w:val="00515F38"/>
    <w:rsid w:val="00516479"/>
    <w:rsid w:val="00516697"/>
    <w:rsid w:val="00516C0E"/>
    <w:rsid w:val="0051725A"/>
    <w:rsid w:val="005178F1"/>
    <w:rsid w:val="00517F56"/>
    <w:rsid w:val="005204F3"/>
    <w:rsid w:val="00520AD3"/>
    <w:rsid w:val="005219ED"/>
    <w:rsid w:val="00521A7C"/>
    <w:rsid w:val="0052244F"/>
    <w:rsid w:val="00522AC9"/>
    <w:rsid w:val="00522FEA"/>
    <w:rsid w:val="005233BD"/>
    <w:rsid w:val="00523496"/>
    <w:rsid w:val="0052364D"/>
    <w:rsid w:val="005237DC"/>
    <w:rsid w:val="00523C5F"/>
    <w:rsid w:val="005243EB"/>
    <w:rsid w:val="00524EA5"/>
    <w:rsid w:val="00526562"/>
    <w:rsid w:val="005303BF"/>
    <w:rsid w:val="00530E3F"/>
    <w:rsid w:val="00531044"/>
    <w:rsid w:val="005315F6"/>
    <w:rsid w:val="0053168D"/>
    <w:rsid w:val="00531E76"/>
    <w:rsid w:val="00531F8B"/>
    <w:rsid w:val="005323DE"/>
    <w:rsid w:val="00533758"/>
    <w:rsid w:val="00533A29"/>
    <w:rsid w:val="00534BF4"/>
    <w:rsid w:val="00534C97"/>
    <w:rsid w:val="00535244"/>
    <w:rsid w:val="00535639"/>
    <w:rsid w:val="005361EC"/>
    <w:rsid w:val="005362D0"/>
    <w:rsid w:val="0053668C"/>
    <w:rsid w:val="005367B1"/>
    <w:rsid w:val="00536D40"/>
    <w:rsid w:val="0053780D"/>
    <w:rsid w:val="00540007"/>
    <w:rsid w:val="00540349"/>
    <w:rsid w:val="00540998"/>
    <w:rsid w:val="00542F1A"/>
    <w:rsid w:val="005431D3"/>
    <w:rsid w:val="005442C7"/>
    <w:rsid w:val="00544A58"/>
    <w:rsid w:val="00544CB3"/>
    <w:rsid w:val="00544E08"/>
    <w:rsid w:val="00544EDA"/>
    <w:rsid w:val="00544F3B"/>
    <w:rsid w:val="00546745"/>
    <w:rsid w:val="00546D24"/>
    <w:rsid w:val="00546DA5"/>
    <w:rsid w:val="00547074"/>
    <w:rsid w:val="00547E41"/>
    <w:rsid w:val="0055110D"/>
    <w:rsid w:val="0055128F"/>
    <w:rsid w:val="00551C1D"/>
    <w:rsid w:val="00551C3C"/>
    <w:rsid w:val="00552112"/>
    <w:rsid w:val="005527A6"/>
    <w:rsid w:val="0055359B"/>
    <w:rsid w:val="00553C2F"/>
    <w:rsid w:val="005543CE"/>
    <w:rsid w:val="005557DA"/>
    <w:rsid w:val="00555948"/>
    <w:rsid w:val="0055766D"/>
    <w:rsid w:val="00557D67"/>
    <w:rsid w:val="005603D8"/>
    <w:rsid w:val="005606DF"/>
    <w:rsid w:val="005606ED"/>
    <w:rsid w:val="00560DB3"/>
    <w:rsid w:val="00560DD7"/>
    <w:rsid w:val="00561AE8"/>
    <w:rsid w:val="00561E0A"/>
    <w:rsid w:val="00561E80"/>
    <w:rsid w:val="0056206C"/>
    <w:rsid w:val="0056237F"/>
    <w:rsid w:val="00562C63"/>
    <w:rsid w:val="0056308D"/>
    <w:rsid w:val="005631EA"/>
    <w:rsid w:val="00563ADD"/>
    <w:rsid w:val="00563F8C"/>
    <w:rsid w:val="0056499C"/>
    <w:rsid w:val="00564C66"/>
    <w:rsid w:val="0056542C"/>
    <w:rsid w:val="005658FD"/>
    <w:rsid w:val="00565D0F"/>
    <w:rsid w:val="00566772"/>
    <w:rsid w:val="00566919"/>
    <w:rsid w:val="00567AED"/>
    <w:rsid w:val="005703AD"/>
    <w:rsid w:val="00570601"/>
    <w:rsid w:val="00570714"/>
    <w:rsid w:val="00570E2D"/>
    <w:rsid w:val="00572462"/>
    <w:rsid w:val="00573226"/>
    <w:rsid w:val="0057357E"/>
    <w:rsid w:val="00573A8A"/>
    <w:rsid w:val="00573E54"/>
    <w:rsid w:val="00573F5D"/>
    <w:rsid w:val="00574078"/>
    <w:rsid w:val="005746A5"/>
    <w:rsid w:val="005747B3"/>
    <w:rsid w:val="00575043"/>
    <w:rsid w:val="00575081"/>
    <w:rsid w:val="0057519C"/>
    <w:rsid w:val="00575DD9"/>
    <w:rsid w:val="005761FA"/>
    <w:rsid w:val="0057653B"/>
    <w:rsid w:val="00576B2E"/>
    <w:rsid w:val="00576D78"/>
    <w:rsid w:val="0057711C"/>
    <w:rsid w:val="005771BE"/>
    <w:rsid w:val="00577ACB"/>
    <w:rsid w:val="00577CD7"/>
    <w:rsid w:val="005800FF"/>
    <w:rsid w:val="005802C7"/>
    <w:rsid w:val="0058034D"/>
    <w:rsid w:val="00581778"/>
    <w:rsid w:val="0058189F"/>
    <w:rsid w:val="00581924"/>
    <w:rsid w:val="00581D50"/>
    <w:rsid w:val="0058213E"/>
    <w:rsid w:val="00582C44"/>
    <w:rsid w:val="00582D60"/>
    <w:rsid w:val="00583BF5"/>
    <w:rsid w:val="00583D6C"/>
    <w:rsid w:val="00583DDE"/>
    <w:rsid w:val="00583F7C"/>
    <w:rsid w:val="0058470D"/>
    <w:rsid w:val="00584773"/>
    <w:rsid w:val="00584949"/>
    <w:rsid w:val="00585047"/>
    <w:rsid w:val="005851BE"/>
    <w:rsid w:val="0058577A"/>
    <w:rsid w:val="00585DD0"/>
    <w:rsid w:val="00585E89"/>
    <w:rsid w:val="00586861"/>
    <w:rsid w:val="00586B71"/>
    <w:rsid w:val="00586F83"/>
    <w:rsid w:val="005873CF"/>
    <w:rsid w:val="005874BE"/>
    <w:rsid w:val="005875A5"/>
    <w:rsid w:val="00590AF1"/>
    <w:rsid w:val="00591337"/>
    <w:rsid w:val="00591F7F"/>
    <w:rsid w:val="00592F46"/>
    <w:rsid w:val="00593504"/>
    <w:rsid w:val="0059356E"/>
    <w:rsid w:val="005939D8"/>
    <w:rsid w:val="00593A56"/>
    <w:rsid w:val="00593AA9"/>
    <w:rsid w:val="00593E9E"/>
    <w:rsid w:val="0059407D"/>
    <w:rsid w:val="005943ED"/>
    <w:rsid w:val="005948E0"/>
    <w:rsid w:val="00594E17"/>
    <w:rsid w:val="00594E93"/>
    <w:rsid w:val="0059514F"/>
    <w:rsid w:val="0059519E"/>
    <w:rsid w:val="00595A75"/>
    <w:rsid w:val="00595CD4"/>
    <w:rsid w:val="00595CF2"/>
    <w:rsid w:val="00595EE1"/>
    <w:rsid w:val="0059635E"/>
    <w:rsid w:val="00596B79"/>
    <w:rsid w:val="00596CED"/>
    <w:rsid w:val="0059774E"/>
    <w:rsid w:val="005A020C"/>
    <w:rsid w:val="005A0471"/>
    <w:rsid w:val="005A06F4"/>
    <w:rsid w:val="005A082F"/>
    <w:rsid w:val="005A0A4A"/>
    <w:rsid w:val="005A0D07"/>
    <w:rsid w:val="005A146C"/>
    <w:rsid w:val="005A1565"/>
    <w:rsid w:val="005A1D74"/>
    <w:rsid w:val="005A228D"/>
    <w:rsid w:val="005A2362"/>
    <w:rsid w:val="005A2952"/>
    <w:rsid w:val="005A2A85"/>
    <w:rsid w:val="005A32AC"/>
    <w:rsid w:val="005A392C"/>
    <w:rsid w:val="005A3D60"/>
    <w:rsid w:val="005A3D6E"/>
    <w:rsid w:val="005A3E4D"/>
    <w:rsid w:val="005A3EDF"/>
    <w:rsid w:val="005A4049"/>
    <w:rsid w:val="005A4167"/>
    <w:rsid w:val="005A4869"/>
    <w:rsid w:val="005A4AEF"/>
    <w:rsid w:val="005A4F94"/>
    <w:rsid w:val="005A52A7"/>
    <w:rsid w:val="005A5762"/>
    <w:rsid w:val="005A5777"/>
    <w:rsid w:val="005A5C4D"/>
    <w:rsid w:val="005A71C6"/>
    <w:rsid w:val="005A738D"/>
    <w:rsid w:val="005A7F3B"/>
    <w:rsid w:val="005B0086"/>
    <w:rsid w:val="005B0240"/>
    <w:rsid w:val="005B0329"/>
    <w:rsid w:val="005B0A1C"/>
    <w:rsid w:val="005B0AA8"/>
    <w:rsid w:val="005B0AB7"/>
    <w:rsid w:val="005B0D46"/>
    <w:rsid w:val="005B0F9C"/>
    <w:rsid w:val="005B10BD"/>
    <w:rsid w:val="005B16EE"/>
    <w:rsid w:val="005B1B42"/>
    <w:rsid w:val="005B1CDD"/>
    <w:rsid w:val="005B2315"/>
    <w:rsid w:val="005B2376"/>
    <w:rsid w:val="005B2AE5"/>
    <w:rsid w:val="005B2B45"/>
    <w:rsid w:val="005B2E47"/>
    <w:rsid w:val="005B3886"/>
    <w:rsid w:val="005B38D8"/>
    <w:rsid w:val="005B3DE7"/>
    <w:rsid w:val="005B4776"/>
    <w:rsid w:val="005B4D16"/>
    <w:rsid w:val="005B4F9B"/>
    <w:rsid w:val="005B53DB"/>
    <w:rsid w:val="005B59E0"/>
    <w:rsid w:val="005B630F"/>
    <w:rsid w:val="005B69B8"/>
    <w:rsid w:val="005B6FAE"/>
    <w:rsid w:val="005B764C"/>
    <w:rsid w:val="005C041B"/>
    <w:rsid w:val="005C0471"/>
    <w:rsid w:val="005C1D38"/>
    <w:rsid w:val="005C256D"/>
    <w:rsid w:val="005C2F6A"/>
    <w:rsid w:val="005C37B8"/>
    <w:rsid w:val="005C4546"/>
    <w:rsid w:val="005C4AEC"/>
    <w:rsid w:val="005C51DA"/>
    <w:rsid w:val="005C5535"/>
    <w:rsid w:val="005C566F"/>
    <w:rsid w:val="005C5CB4"/>
    <w:rsid w:val="005C60BB"/>
    <w:rsid w:val="005C6259"/>
    <w:rsid w:val="005C74D2"/>
    <w:rsid w:val="005C7774"/>
    <w:rsid w:val="005C7E6C"/>
    <w:rsid w:val="005D1154"/>
    <w:rsid w:val="005D13A1"/>
    <w:rsid w:val="005D15FD"/>
    <w:rsid w:val="005D19A4"/>
    <w:rsid w:val="005D19A8"/>
    <w:rsid w:val="005D1DFF"/>
    <w:rsid w:val="005D246B"/>
    <w:rsid w:val="005D2A2D"/>
    <w:rsid w:val="005D2A6B"/>
    <w:rsid w:val="005D2C48"/>
    <w:rsid w:val="005D2D82"/>
    <w:rsid w:val="005D4B0E"/>
    <w:rsid w:val="005D58E9"/>
    <w:rsid w:val="005D599B"/>
    <w:rsid w:val="005D5E11"/>
    <w:rsid w:val="005D606C"/>
    <w:rsid w:val="005D6A7D"/>
    <w:rsid w:val="005D709E"/>
    <w:rsid w:val="005D7AF5"/>
    <w:rsid w:val="005E00BF"/>
    <w:rsid w:val="005E0709"/>
    <w:rsid w:val="005E070C"/>
    <w:rsid w:val="005E0E06"/>
    <w:rsid w:val="005E0F13"/>
    <w:rsid w:val="005E1806"/>
    <w:rsid w:val="005E1886"/>
    <w:rsid w:val="005E1C95"/>
    <w:rsid w:val="005E20E1"/>
    <w:rsid w:val="005E22B9"/>
    <w:rsid w:val="005E268C"/>
    <w:rsid w:val="005E3000"/>
    <w:rsid w:val="005E336D"/>
    <w:rsid w:val="005E39BC"/>
    <w:rsid w:val="005E3BC0"/>
    <w:rsid w:val="005E4597"/>
    <w:rsid w:val="005E4769"/>
    <w:rsid w:val="005E5F00"/>
    <w:rsid w:val="005E6202"/>
    <w:rsid w:val="005E69C5"/>
    <w:rsid w:val="005E71B2"/>
    <w:rsid w:val="005E7225"/>
    <w:rsid w:val="005E75F0"/>
    <w:rsid w:val="005E7B5B"/>
    <w:rsid w:val="005E7B9B"/>
    <w:rsid w:val="005F0A86"/>
    <w:rsid w:val="005F0D0B"/>
    <w:rsid w:val="005F264B"/>
    <w:rsid w:val="005F28F8"/>
    <w:rsid w:val="005F2DCC"/>
    <w:rsid w:val="005F2EC0"/>
    <w:rsid w:val="005F2EDA"/>
    <w:rsid w:val="005F2FD9"/>
    <w:rsid w:val="005F33CA"/>
    <w:rsid w:val="005F36A1"/>
    <w:rsid w:val="005F36A7"/>
    <w:rsid w:val="005F39A8"/>
    <w:rsid w:val="005F3A90"/>
    <w:rsid w:val="005F3D3B"/>
    <w:rsid w:val="005F4AE2"/>
    <w:rsid w:val="005F4C48"/>
    <w:rsid w:val="005F5434"/>
    <w:rsid w:val="005F575A"/>
    <w:rsid w:val="005F75EA"/>
    <w:rsid w:val="005F761A"/>
    <w:rsid w:val="005F7B4E"/>
    <w:rsid w:val="006005B5"/>
    <w:rsid w:val="006007D9"/>
    <w:rsid w:val="00600C2F"/>
    <w:rsid w:val="00600E70"/>
    <w:rsid w:val="00601467"/>
    <w:rsid w:val="00601B01"/>
    <w:rsid w:val="00602327"/>
    <w:rsid w:val="0060261F"/>
    <w:rsid w:val="00602B62"/>
    <w:rsid w:val="00603E4F"/>
    <w:rsid w:val="00604123"/>
    <w:rsid w:val="006048A8"/>
    <w:rsid w:val="00604A33"/>
    <w:rsid w:val="00604B59"/>
    <w:rsid w:val="00607255"/>
    <w:rsid w:val="0060753D"/>
    <w:rsid w:val="0060789E"/>
    <w:rsid w:val="0060795C"/>
    <w:rsid w:val="00607E88"/>
    <w:rsid w:val="00610637"/>
    <w:rsid w:val="006107B1"/>
    <w:rsid w:val="00610985"/>
    <w:rsid w:val="00610AEC"/>
    <w:rsid w:val="006111A8"/>
    <w:rsid w:val="00611AC8"/>
    <w:rsid w:val="00611D28"/>
    <w:rsid w:val="00612017"/>
    <w:rsid w:val="00612088"/>
    <w:rsid w:val="00612548"/>
    <w:rsid w:val="00613019"/>
    <w:rsid w:val="006131D4"/>
    <w:rsid w:val="00613AAC"/>
    <w:rsid w:val="00613B90"/>
    <w:rsid w:val="0061440E"/>
    <w:rsid w:val="0061465F"/>
    <w:rsid w:val="006149CA"/>
    <w:rsid w:val="00614AAA"/>
    <w:rsid w:val="00614F28"/>
    <w:rsid w:val="006153C5"/>
    <w:rsid w:val="0061594F"/>
    <w:rsid w:val="00615B21"/>
    <w:rsid w:val="00615D20"/>
    <w:rsid w:val="00616B11"/>
    <w:rsid w:val="006171E2"/>
    <w:rsid w:val="006173CE"/>
    <w:rsid w:val="006177C7"/>
    <w:rsid w:val="0062016F"/>
    <w:rsid w:val="00620690"/>
    <w:rsid w:val="006206ED"/>
    <w:rsid w:val="00621263"/>
    <w:rsid w:val="0062239A"/>
    <w:rsid w:val="0062282F"/>
    <w:rsid w:val="006228FB"/>
    <w:rsid w:val="00622A58"/>
    <w:rsid w:val="00622C69"/>
    <w:rsid w:val="00622F39"/>
    <w:rsid w:val="0062312F"/>
    <w:rsid w:val="00623AE7"/>
    <w:rsid w:val="00624765"/>
    <w:rsid w:val="0062495F"/>
    <w:rsid w:val="00624A81"/>
    <w:rsid w:val="00624D95"/>
    <w:rsid w:val="00625020"/>
    <w:rsid w:val="0062600F"/>
    <w:rsid w:val="0062662E"/>
    <w:rsid w:val="00626A63"/>
    <w:rsid w:val="00626CF5"/>
    <w:rsid w:val="0062767E"/>
    <w:rsid w:val="00627731"/>
    <w:rsid w:val="0063059E"/>
    <w:rsid w:val="00630D01"/>
    <w:rsid w:val="00630D51"/>
    <w:rsid w:val="00631244"/>
    <w:rsid w:val="0063129B"/>
    <w:rsid w:val="006313B3"/>
    <w:rsid w:val="006323DA"/>
    <w:rsid w:val="006325D6"/>
    <w:rsid w:val="00632BE3"/>
    <w:rsid w:val="00632D52"/>
    <w:rsid w:val="00633720"/>
    <w:rsid w:val="00633F2C"/>
    <w:rsid w:val="0063428E"/>
    <w:rsid w:val="00634C1E"/>
    <w:rsid w:val="00635926"/>
    <w:rsid w:val="00635AC8"/>
    <w:rsid w:val="00635D42"/>
    <w:rsid w:val="00636266"/>
    <w:rsid w:val="00636C02"/>
    <w:rsid w:val="00636EF1"/>
    <w:rsid w:val="00637956"/>
    <w:rsid w:val="00637C65"/>
    <w:rsid w:val="00640E8D"/>
    <w:rsid w:val="00641426"/>
    <w:rsid w:val="00641875"/>
    <w:rsid w:val="00642A48"/>
    <w:rsid w:val="00642C5D"/>
    <w:rsid w:val="00642E87"/>
    <w:rsid w:val="00642FEE"/>
    <w:rsid w:val="00643140"/>
    <w:rsid w:val="0064314A"/>
    <w:rsid w:val="00643488"/>
    <w:rsid w:val="00643A42"/>
    <w:rsid w:val="0064455D"/>
    <w:rsid w:val="006447A9"/>
    <w:rsid w:val="00644886"/>
    <w:rsid w:val="006450B1"/>
    <w:rsid w:val="00645312"/>
    <w:rsid w:val="00645719"/>
    <w:rsid w:val="00645A06"/>
    <w:rsid w:val="00645F20"/>
    <w:rsid w:val="006466E2"/>
    <w:rsid w:val="00646994"/>
    <w:rsid w:val="00646E49"/>
    <w:rsid w:val="0065029F"/>
    <w:rsid w:val="006506D5"/>
    <w:rsid w:val="00650918"/>
    <w:rsid w:val="00650E60"/>
    <w:rsid w:val="006510F7"/>
    <w:rsid w:val="006522D3"/>
    <w:rsid w:val="00652605"/>
    <w:rsid w:val="0065376C"/>
    <w:rsid w:val="00653DEB"/>
    <w:rsid w:val="0065425B"/>
    <w:rsid w:val="00654389"/>
    <w:rsid w:val="006549C2"/>
    <w:rsid w:val="00655A2F"/>
    <w:rsid w:val="00655D57"/>
    <w:rsid w:val="00655EFA"/>
    <w:rsid w:val="00656306"/>
    <w:rsid w:val="00656451"/>
    <w:rsid w:val="00657247"/>
    <w:rsid w:val="00660640"/>
    <w:rsid w:val="006622B8"/>
    <w:rsid w:val="006625F8"/>
    <w:rsid w:val="0066272C"/>
    <w:rsid w:val="006632F0"/>
    <w:rsid w:val="006639FD"/>
    <w:rsid w:val="00663E2F"/>
    <w:rsid w:val="00663E74"/>
    <w:rsid w:val="00664091"/>
    <w:rsid w:val="00664D76"/>
    <w:rsid w:val="006653B0"/>
    <w:rsid w:val="0066558C"/>
    <w:rsid w:val="006656B9"/>
    <w:rsid w:val="00665ABA"/>
    <w:rsid w:val="00665DA7"/>
    <w:rsid w:val="00665E61"/>
    <w:rsid w:val="00666100"/>
    <w:rsid w:val="00666638"/>
    <w:rsid w:val="006667D8"/>
    <w:rsid w:val="00666D3E"/>
    <w:rsid w:val="00667B2C"/>
    <w:rsid w:val="00667D6F"/>
    <w:rsid w:val="00667EEE"/>
    <w:rsid w:val="00667FED"/>
    <w:rsid w:val="0067010E"/>
    <w:rsid w:val="006702AB"/>
    <w:rsid w:val="00671CCE"/>
    <w:rsid w:val="0067220E"/>
    <w:rsid w:val="0067229E"/>
    <w:rsid w:val="0067274A"/>
    <w:rsid w:val="006749E6"/>
    <w:rsid w:val="00675416"/>
    <w:rsid w:val="00675811"/>
    <w:rsid w:val="00675CBB"/>
    <w:rsid w:val="00675EAA"/>
    <w:rsid w:val="00675F22"/>
    <w:rsid w:val="006763BD"/>
    <w:rsid w:val="00676F5D"/>
    <w:rsid w:val="00677653"/>
    <w:rsid w:val="0067795E"/>
    <w:rsid w:val="00677A20"/>
    <w:rsid w:val="006801A2"/>
    <w:rsid w:val="00680258"/>
    <w:rsid w:val="00680420"/>
    <w:rsid w:val="006806DF"/>
    <w:rsid w:val="00680AE4"/>
    <w:rsid w:val="006812EA"/>
    <w:rsid w:val="006818E5"/>
    <w:rsid w:val="00681D01"/>
    <w:rsid w:val="00682BA3"/>
    <w:rsid w:val="00682E9E"/>
    <w:rsid w:val="00682EE1"/>
    <w:rsid w:val="00682FE9"/>
    <w:rsid w:val="00683082"/>
    <w:rsid w:val="00683452"/>
    <w:rsid w:val="0068372F"/>
    <w:rsid w:val="00683B37"/>
    <w:rsid w:val="0068412B"/>
    <w:rsid w:val="006844F4"/>
    <w:rsid w:val="00684528"/>
    <w:rsid w:val="00685382"/>
    <w:rsid w:val="0068545F"/>
    <w:rsid w:val="00685775"/>
    <w:rsid w:val="00685F28"/>
    <w:rsid w:val="006860F2"/>
    <w:rsid w:val="00686171"/>
    <w:rsid w:val="006862C4"/>
    <w:rsid w:val="00686BBB"/>
    <w:rsid w:val="00686BE3"/>
    <w:rsid w:val="00687829"/>
    <w:rsid w:val="006900F6"/>
    <w:rsid w:val="00690139"/>
    <w:rsid w:val="00690489"/>
    <w:rsid w:val="0069163C"/>
    <w:rsid w:val="00691AE0"/>
    <w:rsid w:val="0069242F"/>
    <w:rsid w:val="00692505"/>
    <w:rsid w:val="00692636"/>
    <w:rsid w:val="0069275B"/>
    <w:rsid w:val="006928E7"/>
    <w:rsid w:val="00692AAA"/>
    <w:rsid w:val="00693D94"/>
    <w:rsid w:val="00695356"/>
    <w:rsid w:val="00696246"/>
    <w:rsid w:val="006962D4"/>
    <w:rsid w:val="00696964"/>
    <w:rsid w:val="00696B2D"/>
    <w:rsid w:val="00696BEF"/>
    <w:rsid w:val="006975B3"/>
    <w:rsid w:val="00697BC9"/>
    <w:rsid w:val="00697F90"/>
    <w:rsid w:val="006A0B46"/>
    <w:rsid w:val="006A0C97"/>
    <w:rsid w:val="006A0DA5"/>
    <w:rsid w:val="006A1FFB"/>
    <w:rsid w:val="006A2C37"/>
    <w:rsid w:val="006A2D49"/>
    <w:rsid w:val="006A32A3"/>
    <w:rsid w:val="006A39CF"/>
    <w:rsid w:val="006A4F55"/>
    <w:rsid w:val="006A5293"/>
    <w:rsid w:val="006A62AD"/>
    <w:rsid w:val="006A6739"/>
    <w:rsid w:val="006A676B"/>
    <w:rsid w:val="006A6FBA"/>
    <w:rsid w:val="006A719D"/>
    <w:rsid w:val="006A74A5"/>
    <w:rsid w:val="006A75AE"/>
    <w:rsid w:val="006B009C"/>
    <w:rsid w:val="006B02D8"/>
    <w:rsid w:val="006B0638"/>
    <w:rsid w:val="006B0983"/>
    <w:rsid w:val="006B0FCD"/>
    <w:rsid w:val="006B140B"/>
    <w:rsid w:val="006B1602"/>
    <w:rsid w:val="006B191B"/>
    <w:rsid w:val="006B26EE"/>
    <w:rsid w:val="006B2B65"/>
    <w:rsid w:val="006B3257"/>
    <w:rsid w:val="006B3275"/>
    <w:rsid w:val="006B334C"/>
    <w:rsid w:val="006B384E"/>
    <w:rsid w:val="006B3B8F"/>
    <w:rsid w:val="006B3D2E"/>
    <w:rsid w:val="006B3E28"/>
    <w:rsid w:val="006B425E"/>
    <w:rsid w:val="006B4DA8"/>
    <w:rsid w:val="006B5856"/>
    <w:rsid w:val="006B5FB1"/>
    <w:rsid w:val="006B66A4"/>
    <w:rsid w:val="006B6A11"/>
    <w:rsid w:val="006B6BE0"/>
    <w:rsid w:val="006B7258"/>
    <w:rsid w:val="006B7827"/>
    <w:rsid w:val="006B7AF2"/>
    <w:rsid w:val="006B7F80"/>
    <w:rsid w:val="006C0488"/>
    <w:rsid w:val="006C06D9"/>
    <w:rsid w:val="006C07FC"/>
    <w:rsid w:val="006C090E"/>
    <w:rsid w:val="006C0BE7"/>
    <w:rsid w:val="006C15D0"/>
    <w:rsid w:val="006C180C"/>
    <w:rsid w:val="006C18E6"/>
    <w:rsid w:val="006C1F68"/>
    <w:rsid w:val="006C270C"/>
    <w:rsid w:val="006C283A"/>
    <w:rsid w:val="006C2A09"/>
    <w:rsid w:val="006C3724"/>
    <w:rsid w:val="006C396D"/>
    <w:rsid w:val="006C4381"/>
    <w:rsid w:val="006C4BA1"/>
    <w:rsid w:val="006C5389"/>
    <w:rsid w:val="006C5B92"/>
    <w:rsid w:val="006C6988"/>
    <w:rsid w:val="006C74E9"/>
    <w:rsid w:val="006C7A05"/>
    <w:rsid w:val="006D0916"/>
    <w:rsid w:val="006D11C0"/>
    <w:rsid w:val="006D132F"/>
    <w:rsid w:val="006D163F"/>
    <w:rsid w:val="006D1701"/>
    <w:rsid w:val="006D1741"/>
    <w:rsid w:val="006D2410"/>
    <w:rsid w:val="006D3820"/>
    <w:rsid w:val="006D3ADA"/>
    <w:rsid w:val="006D3B7B"/>
    <w:rsid w:val="006D3C55"/>
    <w:rsid w:val="006D4B70"/>
    <w:rsid w:val="006D502E"/>
    <w:rsid w:val="006D5033"/>
    <w:rsid w:val="006D52CF"/>
    <w:rsid w:val="006D54A2"/>
    <w:rsid w:val="006D57BA"/>
    <w:rsid w:val="006D5DFB"/>
    <w:rsid w:val="006D5F47"/>
    <w:rsid w:val="006D6B67"/>
    <w:rsid w:val="006D6E69"/>
    <w:rsid w:val="006D7478"/>
    <w:rsid w:val="006D7A01"/>
    <w:rsid w:val="006D7BA3"/>
    <w:rsid w:val="006D7BC6"/>
    <w:rsid w:val="006D7F33"/>
    <w:rsid w:val="006E0206"/>
    <w:rsid w:val="006E054B"/>
    <w:rsid w:val="006E0686"/>
    <w:rsid w:val="006E12DA"/>
    <w:rsid w:val="006E3F7D"/>
    <w:rsid w:val="006E514A"/>
    <w:rsid w:val="006E51EE"/>
    <w:rsid w:val="006E52AB"/>
    <w:rsid w:val="006E54A1"/>
    <w:rsid w:val="006E54AD"/>
    <w:rsid w:val="006E59DD"/>
    <w:rsid w:val="006E645A"/>
    <w:rsid w:val="006E65BE"/>
    <w:rsid w:val="006E683E"/>
    <w:rsid w:val="006E6B0A"/>
    <w:rsid w:val="006E73F4"/>
    <w:rsid w:val="006F00B5"/>
    <w:rsid w:val="006F0466"/>
    <w:rsid w:val="006F093C"/>
    <w:rsid w:val="006F0A89"/>
    <w:rsid w:val="006F1046"/>
    <w:rsid w:val="006F1933"/>
    <w:rsid w:val="006F1FB0"/>
    <w:rsid w:val="006F225A"/>
    <w:rsid w:val="006F274A"/>
    <w:rsid w:val="006F370B"/>
    <w:rsid w:val="006F3A01"/>
    <w:rsid w:val="006F4640"/>
    <w:rsid w:val="006F477D"/>
    <w:rsid w:val="006F5E5D"/>
    <w:rsid w:val="006F61DD"/>
    <w:rsid w:val="006F67A8"/>
    <w:rsid w:val="006F6B70"/>
    <w:rsid w:val="006F73E5"/>
    <w:rsid w:val="006F7585"/>
    <w:rsid w:val="006F799C"/>
    <w:rsid w:val="006F7EA4"/>
    <w:rsid w:val="006F7F19"/>
    <w:rsid w:val="00700383"/>
    <w:rsid w:val="007008F5"/>
    <w:rsid w:val="0070093F"/>
    <w:rsid w:val="00700A74"/>
    <w:rsid w:val="0070150B"/>
    <w:rsid w:val="0070191E"/>
    <w:rsid w:val="0070195A"/>
    <w:rsid w:val="00701F4E"/>
    <w:rsid w:val="00702BAA"/>
    <w:rsid w:val="00703359"/>
    <w:rsid w:val="00703419"/>
    <w:rsid w:val="0070392A"/>
    <w:rsid w:val="007040EC"/>
    <w:rsid w:val="007044A0"/>
    <w:rsid w:val="00704EF3"/>
    <w:rsid w:val="00705507"/>
    <w:rsid w:val="00705E17"/>
    <w:rsid w:val="0070635F"/>
    <w:rsid w:val="00706D20"/>
    <w:rsid w:val="00706E02"/>
    <w:rsid w:val="00707904"/>
    <w:rsid w:val="00707B81"/>
    <w:rsid w:val="0071131D"/>
    <w:rsid w:val="00711C45"/>
    <w:rsid w:val="0071252C"/>
    <w:rsid w:val="00712BB9"/>
    <w:rsid w:val="00712F87"/>
    <w:rsid w:val="007131EB"/>
    <w:rsid w:val="00713B95"/>
    <w:rsid w:val="007141BC"/>
    <w:rsid w:val="007149F8"/>
    <w:rsid w:val="00714D6B"/>
    <w:rsid w:val="00714E95"/>
    <w:rsid w:val="0071505C"/>
    <w:rsid w:val="0071569B"/>
    <w:rsid w:val="00715C18"/>
    <w:rsid w:val="00715E18"/>
    <w:rsid w:val="00715EB0"/>
    <w:rsid w:val="00715FF1"/>
    <w:rsid w:val="00716046"/>
    <w:rsid w:val="0071616A"/>
    <w:rsid w:val="00716E5A"/>
    <w:rsid w:val="00716F05"/>
    <w:rsid w:val="0071792C"/>
    <w:rsid w:val="00717A20"/>
    <w:rsid w:val="007201F6"/>
    <w:rsid w:val="007206C0"/>
    <w:rsid w:val="00720FE3"/>
    <w:rsid w:val="00721C7C"/>
    <w:rsid w:val="00722079"/>
    <w:rsid w:val="0072250F"/>
    <w:rsid w:val="007227E9"/>
    <w:rsid w:val="007238D2"/>
    <w:rsid w:val="007239BD"/>
    <w:rsid w:val="00723C28"/>
    <w:rsid w:val="00724124"/>
    <w:rsid w:val="00724971"/>
    <w:rsid w:val="00724FCB"/>
    <w:rsid w:val="007258D6"/>
    <w:rsid w:val="00725EBF"/>
    <w:rsid w:val="0072611D"/>
    <w:rsid w:val="00726186"/>
    <w:rsid w:val="0072679C"/>
    <w:rsid w:val="007268E2"/>
    <w:rsid w:val="00726E03"/>
    <w:rsid w:val="00726F83"/>
    <w:rsid w:val="007307CA"/>
    <w:rsid w:val="007307CE"/>
    <w:rsid w:val="00730855"/>
    <w:rsid w:val="00730A68"/>
    <w:rsid w:val="00730CDC"/>
    <w:rsid w:val="0073112A"/>
    <w:rsid w:val="007313AB"/>
    <w:rsid w:val="00731BD4"/>
    <w:rsid w:val="00731FF0"/>
    <w:rsid w:val="007323A3"/>
    <w:rsid w:val="007323CD"/>
    <w:rsid w:val="00732562"/>
    <w:rsid w:val="00733CAB"/>
    <w:rsid w:val="007349BD"/>
    <w:rsid w:val="0073551A"/>
    <w:rsid w:val="0073582A"/>
    <w:rsid w:val="007360CA"/>
    <w:rsid w:val="00736446"/>
    <w:rsid w:val="00736A9A"/>
    <w:rsid w:val="00737057"/>
    <w:rsid w:val="00737536"/>
    <w:rsid w:val="007375B9"/>
    <w:rsid w:val="007407C4"/>
    <w:rsid w:val="00740B8B"/>
    <w:rsid w:val="00741338"/>
    <w:rsid w:val="00741628"/>
    <w:rsid w:val="00741C41"/>
    <w:rsid w:val="00742979"/>
    <w:rsid w:val="00743360"/>
    <w:rsid w:val="0074376A"/>
    <w:rsid w:val="00743CD3"/>
    <w:rsid w:val="0074523E"/>
    <w:rsid w:val="007459AE"/>
    <w:rsid w:val="00746F3A"/>
    <w:rsid w:val="0074714B"/>
    <w:rsid w:val="00747895"/>
    <w:rsid w:val="007501E7"/>
    <w:rsid w:val="007504F1"/>
    <w:rsid w:val="00750BD2"/>
    <w:rsid w:val="00751413"/>
    <w:rsid w:val="00751558"/>
    <w:rsid w:val="0075178E"/>
    <w:rsid w:val="00751BCF"/>
    <w:rsid w:val="00751D39"/>
    <w:rsid w:val="00751E1F"/>
    <w:rsid w:val="0075213D"/>
    <w:rsid w:val="007526B0"/>
    <w:rsid w:val="0075274C"/>
    <w:rsid w:val="00752A90"/>
    <w:rsid w:val="00752F66"/>
    <w:rsid w:val="007539D4"/>
    <w:rsid w:val="00755A74"/>
    <w:rsid w:val="00755CD9"/>
    <w:rsid w:val="00755FE5"/>
    <w:rsid w:val="00756890"/>
    <w:rsid w:val="00756FE4"/>
    <w:rsid w:val="007570FC"/>
    <w:rsid w:val="0075779F"/>
    <w:rsid w:val="007577B4"/>
    <w:rsid w:val="00757A7C"/>
    <w:rsid w:val="00757AD8"/>
    <w:rsid w:val="00757E6E"/>
    <w:rsid w:val="00760F0E"/>
    <w:rsid w:val="00761636"/>
    <w:rsid w:val="00761A6F"/>
    <w:rsid w:val="007621B1"/>
    <w:rsid w:val="0076303C"/>
    <w:rsid w:val="0076328F"/>
    <w:rsid w:val="00763300"/>
    <w:rsid w:val="007634A2"/>
    <w:rsid w:val="00764819"/>
    <w:rsid w:val="00764C3A"/>
    <w:rsid w:val="00764D33"/>
    <w:rsid w:val="00765189"/>
    <w:rsid w:val="007656F7"/>
    <w:rsid w:val="007657D6"/>
    <w:rsid w:val="00765BAA"/>
    <w:rsid w:val="00765C6A"/>
    <w:rsid w:val="00765FB3"/>
    <w:rsid w:val="0076670A"/>
    <w:rsid w:val="00767456"/>
    <w:rsid w:val="00767686"/>
    <w:rsid w:val="00767749"/>
    <w:rsid w:val="00771769"/>
    <w:rsid w:val="00771813"/>
    <w:rsid w:val="0077204F"/>
    <w:rsid w:val="00772212"/>
    <w:rsid w:val="007723A8"/>
    <w:rsid w:val="007726BC"/>
    <w:rsid w:val="007729FC"/>
    <w:rsid w:val="00772C5F"/>
    <w:rsid w:val="00773142"/>
    <w:rsid w:val="007735B4"/>
    <w:rsid w:val="007738F9"/>
    <w:rsid w:val="007739F5"/>
    <w:rsid w:val="007747EF"/>
    <w:rsid w:val="00774868"/>
    <w:rsid w:val="00774FA9"/>
    <w:rsid w:val="00776624"/>
    <w:rsid w:val="00776651"/>
    <w:rsid w:val="00776690"/>
    <w:rsid w:val="00777F62"/>
    <w:rsid w:val="00780E84"/>
    <w:rsid w:val="00780EF1"/>
    <w:rsid w:val="00781474"/>
    <w:rsid w:val="007814EC"/>
    <w:rsid w:val="00781F61"/>
    <w:rsid w:val="007830D8"/>
    <w:rsid w:val="0078394D"/>
    <w:rsid w:val="00783C0E"/>
    <w:rsid w:val="0078484E"/>
    <w:rsid w:val="00784E12"/>
    <w:rsid w:val="00784ECA"/>
    <w:rsid w:val="0078597E"/>
    <w:rsid w:val="00785D44"/>
    <w:rsid w:val="00786152"/>
    <w:rsid w:val="007861D5"/>
    <w:rsid w:val="00786396"/>
    <w:rsid w:val="00786500"/>
    <w:rsid w:val="00786ADA"/>
    <w:rsid w:val="007875E4"/>
    <w:rsid w:val="007875F2"/>
    <w:rsid w:val="007906E9"/>
    <w:rsid w:val="00790CF9"/>
    <w:rsid w:val="00790D74"/>
    <w:rsid w:val="00791EF0"/>
    <w:rsid w:val="00791F95"/>
    <w:rsid w:val="007921B8"/>
    <w:rsid w:val="007926EC"/>
    <w:rsid w:val="00792781"/>
    <w:rsid w:val="007929FE"/>
    <w:rsid w:val="00792F5F"/>
    <w:rsid w:val="00793247"/>
    <w:rsid w:val="007940E6"/>
    <w:rsid w:val="0079426C"/>
    <w:rsid w:val="0079427A"/>
    <w:rsid w:val="007942DA"/>
    <w:rsid w:val="0079433F"/>
    <w:rsid w:val="00794419"/>
    <w:rsid w:val="00794DF7"/>
    <w:rsid w:val="0079522F"/>
    <w:rsid w:val="0079582A"/>
    <w:rsid w:val="00796AE9"/>
    <w:rsid w:val="00796DF1"/>
    <w:rsid w:val="00797A03"/>
    <w:rsid w:val="00797BFF"/>
    <w:rsid w:val="00797DCE"/>
    <w:rsid w:val="007A09A1"/>
    <w:rsid w:val="007A1524"/>
    <w:rsid w:val="007A1566"/>
    <w:rsid w:val="007A162D"/>
    <w:rsid w:val="007A1B1E"/>
    <w:rsid w:val="007A218F"/>
    <w:rsid w:val="007A29BE"/>
    <w:rsid w:val="007A2EF3"/>
    <w:rsid w:val="007A31C4"/>
    <w:rsid w:val="007A36D0"/>
    <w:rsid w:val="007A384D"/>
    <w:rsid w:val="007A3BBF"/>
    <w:rsid w:val="007A48B3"/>
    <w:rsid w:val="007A493B"/>
    <w:rsid w:val="007A4ECF"/>
    <w:rsid w:val="007A5020"/>
    <w:rsid w:val="007A546F"/>
    <w:rsid w:val="007A548C"/>
    <w:rsid w:val="007A5650"/>
    <w:rsid w:val="007A592D"/>
    <w:rsid w:val="007A5E13"/>
    <w:rsid w:val="007A616A"/>
    <w:rsid w:val="007A6B54"/>
    <w:rsid w:val="007A71F1"/>
    <w:rsid w:val="007A7934"/>
    <w:rsid w:val="007A7CE9"/>
    <w:rsid w:val="007B0094"/>
    <w:rsid w:val="007B04E4"/>
    <w:rsid w:val="007B08BC"/>
    <w:rsid w:val="007B08EC"/>
    <w:rsid w:val="007B0CD1"/>
    <w:rsid w:val="007B1DE9"/>
    <w:rsid w:val="007B1EF9"/>
    <w:rsid w:val="007B2CB9"/>
    <w:rsid w:val="007B44AF"/>
    <w:rsid w:val="007B4D66"/>
    <w:rsid w:val="007B4F07"/>
    <w:rsid w:val="007B570A"/>
    <w:rsid w:val="007B5753"/>
    <w:rsid w:val="007B6B58"/>
    <w:rsid w:val="007B7615"/>
    <w:rsid w:val="007C004D"/>
    <w:rsid w:val="007C05BB"/>
    <w:rsid w:val="007C05D3"/>
    <w:rsid w:val="007C0DB1"/>
    <w:rsid w:val="007C1535"/>
    <w:rsid w:val="007C1552"/>
    <w:rsid w:val="007C1DCB"/>
    <w:rsid w:val="007C1DDD"/>
    <w:rsid w:val="007C1FF9"/>
    <w:rsid w:val="007C22AC"/>
    <w:rsid w:val="007C237B"/>
    <w:rsid w:val="007C26C0"/>
    <w:rsid w:val="007C27E2"/>
    <w:rsid w:val="007C2DE6"/>
    <w:rsid w:val="007C2FE9"/>
    <w:rsid w:val="007C3CFC"/>
    <w:rsid w:val="007C3D45"/>
    <w:rsid w:val="007C476C"/>
    <w:rsid w:val="007C47F2"/>
    <w:rsid w:val="007C497B"/>
    <w:rsid w:val="007C54AA"/>
    <w:rsid w:val="007C582D"/>
    <w:rsid w:val="007C5F3D"/>
    <w:rsid w:val="007C6BC3"/>
    <w:rsid w:val="007C7479"/>
    <w:rsid w:val="007C7D92"/>
    <w:rsid w:val="007D005B"/>
    <w:rsid w:val="007D0272"/>
    <w:rsid w:val="007D0387"/>
    <w:rsid w:val="007D2365"/>
    <w:rsid w:val="007D2754"/>
    <w:rsid w:val="007D2E19"/>
    <w:rsid w:val="007D3C46"/>
    <w:rsid w:val="007D4025"/>
    <w:rsid w:val="007D432D"/>
    <w:rsid w:val="007D4534"/>
    <w:rsid w:val="007D4A2D"/>
    <w:rsid w:val="007D5041"/>
    <w:rsid w:val="007D53BC"/>
    <w:rsid w:val="007D5435"/>
    <w:rsid w:val="007D56AB"/>
    <w:rsid w:val="007D5B80"/>
    <w:rsid w:val="007D5EB8"/>
    <w:rsid w:val="007D64F4"/>
    <w:rsid w:val="007D6580"/>
    <w:rsid w:val="007D6C4D"/>
    <w:rsid w:val="007D7587"/>
    <w:rsid w:val="007D7E6B"/>
    <w:rsid w:val="007E001C"/>
    <w:rsid w:val="007E0196"/>
    <w:rsid w:val="007E03E3"/>
    <w:rsid w:val="007E0453"/>
    <w:rsid w:val="007E054D"/>
    <w:rsid w:val="007E0BFF"/>
    <w:rsid w:val="007E0FB3"/>
    <w:rsid w:val="007E0FE0"/>
    <w:rsid w:val="007E2F1B"/>
    <w:rsid w:val="007E308C"/>
    <w:rsid w:val="007E3301"/>
    <w:rsid w:val="007E33F6"/>
    <w:rsid w:val="007E457B"/>
    <w:rsid w:val="007E47DB"/>
    <w:rsid w:val="007E52A1"/>
    <w:rsid w:val="007E55DD"/>
    <w:rsid w:val="007E5783"/>
    <w:rsid w:val="007E5EF5"/>
    <w:rsid w:val="007E6418"/>
    <w:rsid w:val="007E6E2B"/>
    <w:rsid w:val="007E6E48"/>
    <w:rsid w:val="007E7C66"/>
    <w:rsid w:val="007E7ECB"/>
    <w:rsid w:val="007F08E6"/>
    <w:rsid w:val="007F0924"/>
    <w:rsid w:val="007F0BA4"/>
    <w:rsid w:val="007F0D58"/>
    <w:rsid w:val="007F1CA6"/>
    <w:rsid w:val="007F1D15"/>
    <w:rsid w:val="007F1EAE"/>
    <w:rsid w:val="007F20A3"/>
    <w:rsid w:val="007F3011"/>
    <w:rsid w:val="007F33EB"/>
    <w:rsid w:val="007F357C"/>
    <w:rsid w:val="007F3740"/>
    <w:rsid w:val="007F390E"/>
    <w:rsid w:val="007F39FB"/>
    <w:rsid w:val="007F3AAB"/>
    <w:rsid w:val="007F3E9D"/>
    <w:rsid w:val="007F41C4"/>
    <w:rsid w:val="007F4594"/>
    <w:rsid w:val="007F4780"/>
    <w:rsid w:val="007F492E"/>
    <w:rsid w:val="007F4E5D"/>
    <w:rsid w:val="007F5571"/>
    <w:rsid w:val="007F5CDA"/>
    <w:rsid w:val="007F5FC7"/>
    <w:rsid w:val="007F6072"/>
    <w:rsid w:val="007F7636"/>
    <w:rsid w:val="007F788A"/>
    <w:rsid w:val="007F7953"/>
    <w:rsid w:val="007F79AE"/>
    <w:rsid w:val="007F7DB7"/>
    <w:rsid w:val="007F7E35"/>
    <w:rsid w:val="008004A2"/>
    <w:rsid w:val="00801CEB"/>
    <w:rsid w:val="00801DC4"/>
    <w:rsid w:val="00801EE5"/>
    <w:rsid w:val="00801FFE"/>
    <w:rsid w:val="00802334"/>
    <w:rsid w:val="00802860"/>
    <w:rsid w:val="00802A66"/>
    <w:rsid w:val="00802AFB"/>
    <w:rsid w:val="00803526"/>
    <w:rsid w:val="00803A2C"/>
    <w:rsid w:val="00803BAC"/>
    <w:rsid w:val="00804498"/>
    <w:rsid w:val="0080449B"/>
    <w:rsid w:val="0080589F"/>
    <w:rsid w:val="00805CDD"/>
    <w:rsid w:val="00805DC3"/>
    <w:rsid w:val="00805E1F"/>
    <w:rsid w:val="00805EE5"/>
    <w:rsid w:val="008060A3"/>
    <w:rsid w:val="0080652E"/>
    <w:rsid w:val="00806545"/>
    <w:rsid w:val="0080690E"/>
    <w:rsid w:val="008069BF"/>
    <w:rsid w:val="0080761A"/>
    <w:rsid w:val="0080787C"/>
    <w:rsid w:val="008078BA"/>
    <w:rsid w:val="008105B7"/>
    <w:rsid w:val="00810A43"/>
    <w:rsid w:val="00810D40"/>
    <w:rsid w:val="0081176D"/>
    <w:rsid w:val="00811A55"/>
    <w:rsid w:val="00811B31"/>
    <w:rsid w:val="00811E45"/>
    <w:rsid w:val="00811F74"/>
    <w:rsid w:val="0081207F"/>
    <w:rsid w:val="00812B30"/>
    <w:rsid w:val="00812E25"/>
    <w:rsid w:val="008132A6"/>
    <w:rsid w:val="00813F54"/>
    <w:rsid w:val="00814386"/>
    <w:rsid w:val="00815351"/>
    <w:rsid w:val="00815B2A"/>
    <w:rsid w:val="00816BC0"/>
    <w:rsid w:val="00817998"/>
    <w:rsid w:val="00817A47"/>
    <w:rsid w:val="008206BB"/>
    <w:rsid w:val="00820FF3"/>
    <w:rsid w:val="00821106"/>
    <w:rsid w:val="0082133F"/>
    <w:rsid w:val="008219F6"/>
    <w:rsid w:val="00821A1A"/>
    <w:rsid w:val="0082256E"/>
    <w:rsid w:val="0082400F"/>
    <w:rsid w:val="00824067"/>
    <w:rsid w:val="008240F6"/>
    <w:rsid w:val="00824749"/>
    <w:rsid w:val="00825B88"/>
    <w:rsid w:val="00825CDB"/>
    <w:rsid w:val="00825D8F"/>
    <w:rsid w:val="00826C0F"/>
    <w:rsid w:val="00826DE6"/>
    <w:rsid w:val="0082792B"/>
    <w:rsid w:val="00827A3D"/>
    <w:rsid w:val="00827B94"/>
    <w:rsid w:val="00830133"/>
    <w:rsid w:val="008303FB"/>
    <w:rsid w:val="00830489"/>
    <w:rsid w:val="00830A22"/>
    <w:rsid w:val="008322C6"/>
    <w:rsid w:val="0083270F"/>
    <w:rsid w:val="008328BD"/>
    <w:rsid w:val="00832DB3"/>
    <w:rsid w:val="00832FE1"/>
    <w:rsid w:val="00833360"/>
    <w:rsid w:val="00834C9E"/>
    <w:rsid w:val="00834D0C"/>
    <w:rsid w:val="008350F8"/>
    <w:rsid w:val="00836533"/>
    <w:rsid w:val="008366FD"/>
    <w:rsid w:val="00837987"/>
    <w:rsid w:val="00837AF5"/>
    <w:rsid w:val="008405A9"/>
    <w:rsid w:val="00840BA9"/>
    <w:rsid w:val="008413DA"/>
    <w:rsid w:val="00841B0D"/>
    <w:rsid w:val="00841D62"/>
    <w:rsid w:val="00842630"/>
    <w:rsid w:val="00842C48"/>
    <w:rsid w:val="00843178"/>
    <w:rsid w:val="008449BA"/>
    <w:rsid w:val="00844BC3"/>
    <w:rsid w:val="00845AAE"/>
    <w:rsid w:val="0084607F"/>
    <w:rsid w:val="00846824"/>
    <w:rsid w:val="00847097"/>
    <w:rsid w:val="008476EA"/>
    <w:rsid w:val="00850ACB"/>
    <w:rsid w:val="00850DE3"/>
    <w:rsid w:val="00851D27"/>
    <w:rsid w:val="00852EF2"/>
    <w:rsid w:val="00853772"/>
    <w:rsid w:val="00853969"/>
    <w:rsid w:val="00853DF5"/>
    <w:rsid w:val="00854679"/>
    <w:rsid w:val="00854A11"/>
    <w:rsid w:val="00854B0C"/>
    <w:rsid w:val="00854B77"/>
    <w:rsid w:val="00854BFB"/>
    <w:rsid w:val="00854FB1"/>
    <w:rsid w:val="0085501F"/>
    <w:rsid w:val="008551B5"/>
    <w:rsid w:val="0085557D"/>
    <w:rsid w:val="00855EFD"/>
    <w:rsid w:val="008564E1"/>
    <w:rsid w:val="00856EE1"/>
    <w:rsid w:val="00856F5E"/>
    <w:rsid w:val="00861F3D"/>
    <w:rsid w:val="008623DC"/>
    <w:rsid w:val="00862F96"/>
    <w:rsid w:val="00862FE8"/>
    <w:rsid w:val="00863350"/>
    <w:rsid w:val="008634DB"/>
    <w:rsid w:val="00863FD4"/>
    <w:rsid w:val="008644D2"/>
    <w:rsid w:val="00864B84"/>
    <w:rsid w:val="00864F35"/>
    <w:rsid w:val="00864FCB"/>
    <w:rsid w:val="00865883"/>
    <w:rsid w:val="00866BB8"/>
    <w:rsid w:val="00866CBA"/>
    <w:rsid w:val="00866E1F"/>
    <w:rsid w:val="00867009"/>
    <w:rsid w:val="00867F22"/>
    <w:rsid w:val="0087022A"/>
    <w:rsid w:val="00870C5F"/>
    <w:rsid w:val="00870D9D"/>
    <w:rsid w:val="00871A82"/>
    <w:rsid w:val="00872B7E"/>
    <w:rsid w:val="00872BCA"/>
    <w:rsid w:val="00872C2F"/>
    <w:rsid w:val="00872D30"/>
    <w:rsid w:val="00872EEC"/>
    <w:rsid w:val="008732BA"/>
    <w:rsid w:val="00873CAB"/>
    <w:rsid w:val="00873EE0"/>
    <w:rsid w:val="00873F4F"/>
    <w:rsid w:val="00874419"/>
    <w:rsid w:val="00875F92"/>
    <w:rsid w:val="00876CF9"/>
    <w:rsid w:val="008770FC"/>
    <w:rsid w:val="0087756A"/>
    <w:rsid w:val="00877AF5"/>
    <w:rsid w:val="00877F1B"/>
    <w:rsid w:val="0088008F"/>
    <w:rsid w:val="00880285"/>
    <w:rsid w:val="00880531"/>
    <w:rsid w:val="008805FE"/>
    <w:rsid w:val="00880D33"/>
    <w:rsid w:val="0088174B"/>
    <w:rsid w:val="00881871"/>
    <w:rsid w:val="00881966"/>
    <w:rsid w:val="00881E48"/>
    <w:rsid w:val="0088287F"/>
    <w:rsid w:val="008828E2"/>
    <w:rsid w:val="008831E4"/>
    <w:rsid w:val="0088451B"/>
    <w:rsid w:val="00884E67"/>
    <w:rsid w:val="00885106"/>
    <w:rsid w:val="0088519F"/>
    <w:rsid w:val="008851D0"/>
    <w:rsid w:val="008853CF"/>
    <w:rsid w:val="008854E6"/>
    <w:rsid w:val="008857E0"/>
    <w:rsid w:val="008862B4"/>
    <w:rsid w:val="008866DF"/>
    <w:rsid w:val="00886937"/>
    <w:rsid w:val="00886DF6"/>
    <w:rsid w:val="00887134"/>
    <w:rsid w:val="0088742A"/>
    <w:rsid w:val="008904AF"/>
    <w:rsid w:val="00890C1B"/>
    <w:rsid w:val="00890FBB"/>
    <w:rsid w:val="008910BC"/>
    <w:rsid w:val="0089115C"/>
    <w:rsid w:val="00891442"/>
    <w:rsid w:val="00891447"/>
    <w:rsid w:val="00891CA2"/>
    <w:rsid w:val="00891E12"/>
    <w:rsid w:val="00891E96"/>
    <w:rsid w:val="00892D42"/>
    <w:rsid w:val="00893142"/>
    <w:rsid w:val="0089367D"/>
    <w:rsid w:val="00893C9F"/>
    <w:rsid w:val="008957B0"/>
    <w:rsid w:val="00895D5E"/>
    <w:rsid w:val="008963FF"/>
    <w:rsid w:val="00896419"/>
    <w:rsid w:val="00896630"/>
    <w:rsid w:val="00896895"/>
    <w:rsid w:val="008971C6"/>
    <w:rsid w:val="00897586"/>
    <w:rsid w:val="008A092F"/>
    <w:rsid w:val="008A151D"/>
    <w:rsid w:val="008A16E3"/>
    <w:rsid w:val="008A17D1"/>
    <w:rsid w:val="008A1D8E"/>
    <w:rsid w:val="008A3297"/>
    <w:rsid w:val="008A34D6"/>
    <w:rsid w:val="008A35B4"/>
    <w:rsid w:val="008A4490"/>
    <w:rsid w:val="008A49BE"/>
    <w:rsid w:val="008A50E9"/>
    <w:rsid w:val="008A56BC"/>
    <w:rsid w:val="008A5C40"/>
    <w:rsid w:val="008A691C"/>
    <w:rsid w:val="008A710D"/>
    <w:rsid w:val="008A731F"/>
    <w:rsid w:val="008A77C2"/>
    <w:rsid w:val="008A7D38"/>
    <w:rsid w:val="008A7EF7"/>
    <w:rsid w:val="008B0424"/>
    <w:rsid w:val="008B0495"/>
    <w:rsid w:val="008B08B5"/>
    <w:rsid w:val="008B097D"/>
    <w:rsid w:val="008B0BCD"/>
    <w:rsid w:val="008B0E09"/>
    <w:rsid w:val="008B1208"/>
    <w:rsid w:val="008B134A"/>
    <w:rsid w:val="008B141D"/>
    <w:rsid w:val="008B17AA"/>
    <w:rsid w:val="008B1E17"/>
    <w:rsid w:val="008B1E73"/>
    <w:rsid w:val="008B238D"/>
    <w:rsid w:val="008B2B86"/>
    <w:rsid w:val="008B3431"/>
    <w:rsid w:val="008B38C5"/>
    <w:rsid w:val="008B39ED"/>
    <w:rsid w:val="008B3FBD"/>
    <w:rsid w:val="008B4D62"/>
    <w:rsid w:val="008B5079"/>
    <w:rsid w:val="008B5322"/>
    <w:rsid w:val="008B567A"/>
    <w:rsid w:val="008B59F6"/>
    <w:rsid w:val="008B628B"/>
    <w:rsid w:val="008B62FA"/>
    <w:rsid w:val="008B6A48"/>
    <w:rsid w:val="008B6CB2"/>
    <w:rsid w:val="008B6E80"/>
    <w:rsid w:val="008B6F89"/>
    <w:rsid w:val="008B7358"/>
    <w:rsid w:val="008C111B"/>
    <w:rsid w:val="008C1C09"/>
    <w:rsid w:val="008C2544"/>
    <w:rsid w:val="008C3305"/>
    <w:rsid w:val="008C43A2"/>
    <w:rsid w:val="008C48F3"/>
    <w:rsid w:val="008C4AB8"/>
    <w:rsid w:val="008C4D62"/>
    <w:rsid w:val="008C5805"/>
    <w:rsid w:val="008C6A38"/>
    <w:rsid w:val="008C79F2"/>
    <w:rsid w:val="008C7D34"/>
    <w:rsid w:val="008D02CE"/>
    <w:rsid w:val="008D058B"/>
    <w:rsid w:val="008D0A0C"/>
    <w:rsid w:val="008D0B70"/>
    <w:rsid w:val="008D12CA"/>
    <w:rsid w:val="008D132F"/>
    <w:rsid w:val="008D158B"/>
    <w:rsid w:val="008D1E9E"/>
    <w:rsid w:val="008D205C"/>
    <w:rsid w:val="008D26F0"/>
    <w:rsid w:val="008D299C"/>
    <w:rsid w:val="008D33E2"/>
    <w:rsid w:val="008D33FB"/>
    <w:rsid w:val="008D39E4"/>
    <w:rsid w:val="008D3D1B"/>
    <w:rsid w:val="008D3DD5"/>
    <w:rsid w:val="008D3F10"/>
    <w:rsid w:val="008D41FF"/>
    <w:rsid w:val="008D4672"/>
    <w:rsid w:val="008D46AA"/>
    <w:rsid w:val="008D46DE"/>
    <w:rsid w:val="008D4844"/>
    <w:rsid w:val="008D5412"/>
    <w:rsid w:val="008D547B"/>
    <w:rsid w:val="008D58BA"/>
    <w:rsid w:val="008D63EB"/>
    <w:rsid w:val="008D736F"/>
    <w:rsid w:val="008D76A1"/>
    <w:rsid w:val="008E005D"/>
    <w:rsid w:val="008E06F2"/>
    <w:rsid w:val="008E09B6"/>
    <w:rsid w:val="008E10FE"/>
    <w:rsid w:val="008E1435"/>
    <w:rsid w:val="008E17A3"/>
    <w:rsid w:val="008E1D33"/>
    <w:rsid w:val="008E1EC5"/>
    <w:rsid w:val="008E30D1"/>
    <w:rsid w:val="008E332B"/>
    <w:rsid w:val="008E37FE"/>
    <w:rsid w:val="008E4DDC"/>
    <w:rsid w:val="008E5AC1"/>
    <w:rsid w:val="008E61BC"/>
    <w:rsid w:val="008E625A"/>
    <w:rsid w:val="008E6399"/>
    <w:rsid w:val="008E66AE"/>
    <w:rsid w:val="008E6C13"/>
    <w:rsid w:val="008E6D73"/>
    <w:rsid w:val="008E6F14"/>
    <w:rsid w:val="008E7224"/>
    <w:rsid w:val="008E7A32"/>
    <w:rsid w:val="008E7C97"/>
    <w:rsid w:val="008F0141"/>
    <w:rsid w:val="008F0246"/>
    <w:rsid w:val="008F0377"/>
    <w:rsid w:val="008F0690"/>
    <w:rsid w:val="008F0A9A"/>
    <w:rsid w:val="008F0AD8"/>
    <w:rsid w:val="008F0BD9"/>
    <w:rsid w:val="008F172F"/>
    <w:rsid w:val="008F198F"/>
    <w:rsid w:val="008F1B12"/>
    <w:rsid w:val="008F1F49"/>
    <w:rsid w:val="008F2DF9"/>
    <w:rsid w:val="008F3295"/>
    <w:rsid w:val="008F36C1"/>
    <w:rsid w:val="008F446F"/>
    <w:rsid w:val="008F45D7"/>
    <w:rsid w:val="008F46F2"/>
    <w:rsid w:val="008F4AB0"/>
    <w:rsid w:val="008F4E60"/>
    <w:rsid w:val="008F6331"/>
    <w:rsid w:val="008F6655"/>
    <w:rsid w:val="008F6EB9"/>
    <w:rsid w:val="008F7351"/>
    <w:rsid w:val="008F7D26"/>
    <w:rsid w:val="0090044D"/>
    <w:rsid w:val="00900BAC"/>
    <w:rsid w:val="009017B8"/>
    <w:rsid w:val="00902BF1"/>
    <w:rsid w:val="00902F30"/>
    <w:rsid w:val="009037D9"/>
    <w:rsid w:val="00903871"/>
    <w:rsid w:val="00903B3B"/>
    <w:rsid w:val="00903C2A"/>
    <w:rsid w:val="009042E9"/>
    <w:rsid w:val="009043D4"/>
    <w:rsid w:val="009044BF"/>
    <w:rsid w:val="009052D0"/>
    <w:rsid w:val="00905598"/>
    <w:rsid w:val="00905A9D"/>
    <w:rsid w:val="009060D6"/>
    <w:rsid w:val="00906D49"/>
    <w:rsid w:val="0090713D"/>
    <w:rsid w:val="00907189"/>
    <w:rsid w:val="00910A0F"/>
    <w:rsid w:val="009110D5"/>
    <w:rsid w:val="009111F6"/>
    <w:rsid w:val="00911489"/>
    <w:rsid w:val="0091249C"/>
    <w:rsid w:val="009129A6"/>
    <w:rsid w:val="00913263"/>
    <w:rsid w:val="00913D99"/>
    <w:rsid w:val="0091406A"/>
    <w:rsid w:val="00915374"/>
    <w:rsid w:val="009159F4"/>
    <w:rsid w:val="00915CA1"/>
    <w:rsid w:val="00916344"/>
    <w:rsid w:val="00916C1A"/>
    <w:rsid w:val="00916D31"/>
    <w:rsid w:val="00916E7D"/>
    <w:rsid w:val="00917348"/>
    <w:rsid w:val="00917B55"/>
    <w:rsid w:val="00917E2B"/>
    <w:rsid w:val="0092045A"/>
    <w:rsid w:val="009209FF"/>
    <w:rsid w:val="00920A19"/>
    <w:rsid w:val="009217B1"/>
    <w:rsid w:val="00921BEE"/>
    <w:rsid w:val="00921D81"/>
    <w:rsid w:val="00921E6C"/>
    <w:rsid w:val="009220FD"/>
    <w:rsid w:val="0092245B"/>
    <w:rsid w:val="009229DF"/>
    <w:rsid w:val="0092398D"/>
    <w:rsid w:val="00923FAF"/>
    <w:rsid w:val="00924226"/>
    <w:rsid w:val="0092470D"/>
    <w:rsid w:val="009249F3"/>
    <w:rsid w:val="009253E4"/>
    <w:rsid w:val="0092541C"/>
    <w:rsid w:val="00925F6A"/>
    <w:rsid w:val="00926268"/>
    <w:rsid w:val="00926822"/>
    <w:rsid w:val="00926D0A"/>
    <w:rsid w:val="00926EC0"/>
    <w:rsid w:val="00926EC8"/>
    <w:rsid w:val="0092762A"/>
    <w:rsid w:val="00927DCD"/>
    <w:rsid w:val="009301F1"/>
    <w:rsid w:val="009307C9"/>
    <w:rsid w:val="00930DA7"/>
    <w:rsid w:val="009319BC"/>
    <w:rsid w:val="00931EC6"/>
    <w:rsid w:val="00932BB9"/>
    <w:rsid w:val="00933101"/>
    <w:rsid w:val="009332A1"/>
    <w:rsid w:val="0093370D"/>
    <w:rsid w:val="0093459F"/>
    <w:rsid w:val="0093542C"/>
    <w:rsid w:val="00935668"/>
    <w:rsid w:val="00935AA6"/>
    <w:rsid w:val="009360C4"/>
    <w:rsid w:val="00936407"/>
    <w:rsid w:val="00937563"/>
    <w:rsid w:val="00937C9B"/>
    <w:rsid w:val="00940462"/>
    <w:rsid w:val="00941157"/>
    <w:rsid w:val="009411E1"/>
    <w:rsid w:val="00941B20"/>
    <w:rsid w:val="00942641"/>
    <w:rsid w:val="00942955"/>
    <w:rsid w:val="009437A0"/>
    <w:rsid w:val="0094436A"/>
    <w:rsid w:val="00944BB6"/>
    <w:rsid w:val="00944D95"/>
    <w:rsid w:val="00945B5B"/>
    <w:rsid w:val="00946085"/>
    <w:rsid w:val="009468B3"/>
    <w:rsid w:val="00946BB5"/>
    <w:rsid w:val="00946BC9"/>
    <w:rsid w:val="00947D12"/>
    <w:rsid w:val="00947DEE"/>
    <w:rsid w:val="009502D6"/>
    <w:rsid w:val="00950E48"/>
    <w:rsid w:val="00950FC0"/>
    <w:rsid w:val="00951A73"/>
    <w:rsid w:val="00952024"/>
    <w:rsid w:val="009520FF"/>
    <w:rsid w:val="00952645"/>
    <w:rsid w:val="009526BA"/>
    <w:rsid w:val="0095285E"/>
    <w:rsid w:val="0095317B"/>
    <w:rsid w:val="0095364F"/>
    <w:rsid w:val="009539AC"/>
    <w:rsid w:val="0095451F"/>
    <w:rsid w:val="009553A1"/>
    <w:rsid w:val="00956B00"/>
    <w:rsid w:val="00956DC2"/>
    <w:rsid w:val="00956FC4"/>
    <w:rsid w:val="00956FF7"/>
    <w:rsid w:val="0095724B"/>
    <w:rsid w:val="009574BC"/>
    <w:rsid w:val="00957773"/>
    <w:rsid w:val="009579C5"/>
    <w:rsid w:val="00957A36"/>
    <w:rsid w:val="00957CB4"/>
    <w:rsid w:val="00960378"/>
    <w:rsid w:val="009607A7"/>
    <w:rsid w:val="0096083C"/>
    <w:rsid w:val="00960B5D"/>
    <w:rsid w:val="00960C0A"/>
    <w:rsid w:val="00960EFE"/>
    <w:rsid w:val="009627E7"/>
    <w:rsid w:val="00963009"/>
    <w:rsid w:val="00963105"/>
    <w:rsid w:val="009634B7"/>
    <w:rsid w:val="00963B1D"/>
    <w:rsid w:val="00964582"/>
    <w:rsid w:val="00964D86"/>
    <w:rsid w:val="00964F46"/>
    <w:rsid w:val="00964F89"/>
    <w:rsid w:val="009652CD"/>
    <w:rsid w:val="009653DC"/>
    <w:rsid w:val="009659BF"/>
    <w:rsid w:val="00965A32"/>
    <w:rsid w:val="00965BF8"/>
    <w:rsid w:val="00966769"/>
    <w:rsid w:val="009668C4"/>
    <w:rsid w:val="00966D3B"/>
    <w:rsid w:val="00966FD5"/>
    <w:rsid w:val="0096708C"/>
    <w:rsid w:val="009671DB"/>
    <w:rsid w:val="0096747A"/>
    <w:rsid w:val="0096768F"/>
    <w:rsid w:val="0097003C"/>
    <w:rsid w:val="009706BF"/>
    <w:rsid w:val="0097098D"/>
    <w:rsid w:val="00970CCE"/>
    <w:rsid w:val="00971B9B"/>
    <w:rsid w:val="00971C93"/>
    <w:rsid w:val="009724AA"/>
    <w:rsid w:val="00972522"/>
    <w:rsid w:val="0097270F"/>
    <w:rsid w:val="00973E05"/>
    <w:rsid w:val="00973FC8"/>
    <w:rsid w:val="00974104"/>
    <w:rsid w:val="00974B69"/>
    <w:rsid w:val="00974C11"/>
    <w:rsid w:val="00974D53"/>
    <w:rsid w:val="00975D13"/>
    <w:rsid w:val="00975D66"/>
    <w:rsid w:val="00976FAC"/>
    <w:rsid w:val="00977C37"/>
    <w:rsid w:val="00977D3F"/>
    <w:rsid w:val="00980044"/>
    <w:rsid w:val="00980E6B"/>
    <w:rsid w:val="00981243"/>
    <w:rsid w:val="009818EA"/>
    <w:rsid w:val="00981932"/>
    <w:rsid w:val="00981A86"/>
    <w:rsid w:val="00981A9F"/>
    <w:rsid w:val="0098225C"/>
    <w:rsid w:val="0098272F"/>
    <w:rsid w:val="009829A6"/>
    <w:rsid w:val="00982AE6"/>
    <w:rsid w:val="00982BCA"/>
    <w:rsid w:val="009836BF"/>
    <w:rsid w:val="00983736"/>
    <w:rsid w:val="0098391A"/>
    <w:rsid w:val="00983FC0"/>
    <w:rsid w:val="0098446C"/>
    <w:rsid w:val="00984B20"/>
    <w:rsid w:val="0098528F"/>
    <w:rsid w:val="009857DB"/>
    <w:rsid w:val="00985A0C"/>
    <w:rsid w:val="00985A87"/>
    <w:rsid w:val="00985C31"/>
    <w:rsid w:val="00985F76"/>
    <w:rsid w:val="00986E60"/>
    <w:rsid w:val="009879B6"/>
    <w:rsid w:val="009879F1"/>
    <w:rsid w:val="00990B83"/>
    <w:rsid w:val="00990E37"/>
    <w:rsid w:val="00991002"/>
    <w:rsid w:val="009912C5"/>
    <w:rsid w:val="009916A6"/>
    <w:rsid w:val="0099171F"/>
    <w:rsid w:val="00991BD1"/>
    <w:rsid w:val="00992065"/>
    <w:rsid w:val="0099263F"/>
    <w:rsid w:val="009927DA"/>
    <w:rsid w:val="00993FFB"/>
    <w:rsid w:val="009948B6"/>
    <w:rsid w:val="00994B25"/>
    <w:rsid w:val="00994D99"/>
    <w:rsid w:val="00994DE5"/>
    <w:rsid w:val="00994E14"/>
    <w:rsid w:val="00994FB5"/>
    <w:rsid w:val="009953CA"/>
    <w:rsid w:val="00995CFA"/>
    <w:rsid w:val="009960E7"/>
    <w:rsid w:val="00996878"/>
    <w:rsid w:val="009968B2"/>
    <w:rsid w:val="00996A3C"/>
    <w:rsid w:val="00996CB3"/>
    <w:rsid w:val="00996EC9"/>
    <w:rsid w:val="00996FB9"/>
    <w:rsid w:val="0099711A"/>
    <w:rsid w:val="00997378"/>
    <w:rsid w:val="00997C26"/>
    <w:rsid w:val="00997D0D"/>
    <w:rsid w:val="009A0611"/>
    <w:rsid w:val="009A0B54"/>
    <w:rsid w:val="009A12E7"/>
    <w:rsid w:val="009A1325"/>
    <w:rsid w:val="009A14F3"/>
    <w:rsid w:val="009A1516"/>
    <w:rsid w:val="009A15A7"/>
    <w:rsid w:val="009A16E6"/>
    <w:rsid w:val="009A1AFF"/>
    <w:rsid w:val="009A1F20"/>
    <w:rsid w:val="009A22F7"/>
    <w:rsid w:val="009A2801"/>
    <w:rsid w:val="009A29D3"/>
    <w:rsid w:val="009A3363"/>
    <w:rsid w:val="009A3B8D"/>
    <w:rsid w:val="009A45FE"/>
    <w:rsid w:val="009A4713"/>
    <w:rsid w:val="009A593E"/>
    <w:rsid w:val="009A5983"/>
    <w:rsid w:val="009A601F"/>
    <w:rsid w:val="009A606B"/>
    <w:rsid w:val="009A61EC"/>
    <w:rsid w:val="009A667C"/>
    <w:rsid w:val="009A6A90"/>
    <w:rsid w:val="009A74B7"/>
    <w:rsid w:val="009A7FEC"/>
    <w:rsid w:val="009B0441"/>
    <w:rsid w:val="009B127A"/>
    <w:rsid w:val="009B1D50"/>
    <w:rsid w:val="009B1E88"/>
    <w:rsid w:val="009B297D"/>
    <w:rsid w:val="009B2D6F"/>
    <w:rsid w:val="009B3805"/>
    <w:rsid w:val="009B38DF"/>
    <w:rsid w:val="009B3C34"/>
    <w:rsid w:val="009B3CB2"/>
    <w:rsid w:val="009B4110"/>
    <w:rsid w:val="009B480C"/>
    <w:rsid w:val="009B5258"/>
    <w:rsid w:val="009B530B"/>
    <w:rsid w:val="009B6D95"/>
    <w:rsid w:val="009B6ED7"/>
    <w:rsid w:val="009B743D"/>
    <w:rsid w:val="009B7A7B"/>
    <w:rsid w:val="009B7C25"/>
    <w:rsid w:val="009C188E"/>
    <w:rsid w:val="009C1A46"/>
    <w:rsid w:val="009C1C43"/>
    <w:rsid w:val="009C2250"/>
    <w:rsid w:val="009C2908"/>
    <w:rsid w:val="009C296B"/>
    <w:rsid w:val="009C2DD0"/>
    <w:rsid w:val="009C3145"/>
    <w:rsid w:val="009C3263"/>
    <w:rsid w:val="009C42D1"/>
    <w:rsid w:val="009C46DB"/>
    <w:rsid w:val="009C485C"/>
    <w:rsid w:val="009C4FAB"/>
    <w:rsid w:val="009C561A"/>
    <w:rsid w:val="009C67A7"/>
    <w:rsid w:val="009C69C0"/>
    <w:rsid w:val="009C6F1D"/>
    <w:rsid w:val="009C71BB"/>
    <w:rsid w:val="009C77B4"/>
    <w:rsid w:val="009C77DD"/>
    <w:rsid w:val="009D0791"/>
    <w:rsid w:val="009D0ACB"/>
    <w:rsid w:val="009D0BAC"/>
    <w:rsid w:val="009D1989"/>
    <w:rsid w:val="009D25A4"/>
    <w:rsid w:val="009D262D"/>
    <w:rsid w:val="009D3E7A"/>
    <w:rsid w:val="009D43B0"/>
    <w:rsid w:val="009D4A47"/>
    <w:rsid w:val="009D4AF1"/>
    <w:rsid w:val="009D535D"/>
    <w:rsid w:val="009D55AF"/>
    <w:rsid w:val="009D565D"/>
    <w:rsid w:val="009D579C"/>
    <w:rsid w:val="009D5B78"/>
    <w:rsid w:val="009D5E52"/>
    <w:rsid w:val="009D607E"/>
    <w:rsid w:val="009D6355"/>
    <w:rsid w:val="009D7749"/>
    <w:rsid w:val="009D79C8"/>
    <w:rsid w:val="009E0455"/>
    <w:rsid w:val="009E066D"/>
    <w:rsid w:val="009E1040"/>
    <w:rsid w:val="009E112C"/>
    <w:rsid w:val="009E1AB0"/>
    <w:rsid w:val="009E1BC1"/>
    <w:rsid w:val="009E2027"/>
    <w:rsid w:val="009E2130"/>
    <w:rsid w:val="009E2164"/>
    <w:rsid w:val="009E2845"/>
    <w:rsid w:val="009E3D66"/>
    <w:rsid w:val="009E3EC3"/>
    <w:rsid w:val="009E4C2E"/>
    <w:rsid w:val="009E53FD"/>
    <w:rsid w:val="009E5632"/>
    <w:rsid w:val="009E5B96"/>
    <w:rsid w:val="009E5C3E"/>
    <w:rsid w:val="009E5C4F"/>
    <w:rsid w:val="009E6799"/>
    <w:rsid w:val="009E6DC8"/>
    <w:rsid w:val="009E7284"/>
    <w:rsid w:val="009E7C9A"/>
    <w:rsid w:val="009F013F"/>
    <w:rsid w:val="009F09C2"/>
    <w:rsid w:val="009F0C4F"/>
    <w:rsid w:val="009F0EB4"/>
    <w:rsid w:val="009F113E"/>
    <w:rsid w:val="009F1941"/>
    <w:rsid w:val="009F1A20"/>
    <w:rsid w:val="009F1BB4"/>
    <w:rsid w:val="009F2D7D"/>
    <w:rsid w:val="009F345D"/>
    <w:rsid w:val="009F3D20"/>
    <w:rsid w:val="009F402F"/>
    <w:rsid w:val="009F4157"/>
    <w:rsid w:val="009F4206"/>
    <w:rsid w:val="009F42AB"/>
    <w:rsid w:val="009F495C"/>
    <w:rsid w:val="009F5208"/>
    <w:rsid w:val="009F569D"/>
    <w:rsid w:val="009F5BB7"/>
    <w:rsid w:val="009F6CCA"/>
    <w:rsid w:val="009F6D9A"/>
    <w:rsid w:val="00A00065"/>
    <w:rsid w:val="00A002D2"/>
    <w:rsid w:val="00A00434"/>
    <w:rsid w:val="00A00989"/>
    <w:rsid w:val="00A0105F"/>
    <w:rsid w:val="00A010F3"/>
    <w:rsid w:val="00A0161D"/>
    <w:rsid w:val="00A01984"/>
    <w:rsid w:val="00A01D98"/>
    <w:rsid w:val="00A03AE6"/>
    <w:rsid w:val="00A0460D"/>
    <w:rsid w:val="00A04854"/>
    <w:rsid w:val="00A04E40"/>
    <w:rsid w:val="00A05792"/>
    <w:rsid w:val="00A060C4"/>
    <w:rsid w:val="00A06CA0"/>
    <w:rsid w:val="00A077FE"/>
    <w:rsid w:val="00A07D60"/>
    <w:rsid w:val="00A10404"/>
    <w:rsid w:val="00A10504"/>
    <w:rsid w:val="00A10C34"/>
    <w:rsid w:val="00A10EE9"/>
    <w:rsid w:val="00A11480"/>
    <w:rsid w:val="00A118CF"/>
    <w:rsid w:val="00A11C51"/>
    <w:rsid w:val="00A12521"/>
    <w:rsid w:val="00A12A0C"/>
    <w:rsid w:val="00A13D9D"/>
    <w:rsid w:val="00A13E10"/>
    <w:rsid w:val="00A143BF"/>
    <w:rsid w:val="00A147A4"/>
    <w:rsid w:val="00A14B9B"/>
    <w:rsid w:val="00A1528F"/>
    <w:rsid w:val="00A1545D"/>
    <w:rsid w:val="00A15524"/>
    <w:rsid w:val="00A15821"/>
    <w:rsid w:val="00A163A7"/>
    <w:rsid w:val="00A17458"/>
    <w:rsid w:val="00A1783E"/>
    <w:rsid w:val="00A17F32"/>
    <w:rsid w:val="00A213F9"/>
    <w:rsid w:val="00A2142D"/>
    <w:rsid w:val="00A21C4A"/>
    <w:rsid w:val="00A225F4"/>
    <w:rsid w:val="00A24238"/>
    <w:rsid w:val="00A244F8"/>
    <w:rsid w:val="00A24773"/>
    <w:rsid w:val="00A24E18"/>
    <w:rsid w:val="00A2552E"/>
    <w:rsid w:val="00A25A86"/>
    <w:rsid w:val="00A260FA"/>
    <w:rsid w:val="00A26B84"/>
    <w:rsid w:val="00A27275"/>
    <w:rsid w:val="00A2767C"/>
    <w:rsid w:val="00A276F6"/>
    <w:rsid w:val="00A2798A"/>
    <w:rsid w:val="00A3030D"/>
    <w:rsid w:val="00A30414"/>
    <w:rsid w:val="00A314BD"/>
    <w:rsid w:val="00A31703"/>
    <w:rsid w:val="00A31A11"/>
    <w:rsid w:val="00A31E81"/>
    <w:rsid w:val="00A332A3"/>
    <w:rsid w:val="00A33371"/>
    <w:rsid w:val="00A33B87"/>
    <w:rsid w:val="00A3448B"/>
    <w:rsid w:val="00A34749"/>
    <w:rsid w:val="00A347AF"/>
    <w:rsid w:val="00A34FE3"/>
    <w:rsid w:val="00A35506"/>
    <w:rsid w:val="00A355B9"/>
    <w:rsid w:val="00A3570E"/>
    <w:rsid w:val="00A35D05"/>
    <w:rsid w:val="00A36035"/>
    <w:rsid w:val="00A365A2"/>
    <w:rsid w:val="00A366BF"/>
    <w:rsid w:val="00A3673D"/>
    <w:rsid w:val="00A37951"/>
    <w:rsid w:val="00A37D4F"/>
    <w:rsid w:val="00A4009E"/>
    <w:rsid w:val="00A401AC"/>
    <w:rsid w:val="00A40692"/>
    <w:rsid w:val="00A40D3E"/>
    <w:rsid w:val="00A40EE3"/>
    <w:rsid w:val="00A40FD7"/>
    <w:rsid w:val="00A4124A"/>
    <w:rsid w:val="00A419ED"/>
    <w:rsid w:val="00A41A1B"/>
    <w:rsid w:val="00A41BB7"/>
    <w:rsid w:val="00A41EA0"/>
    <w:rsid w:val="00A4280F"/>
    <w:rsid w:val="00A44017"/>
    <w:rsid w:val="00A448AF"/>
    <w:rsid w:val="00A44E87"/>
    <w:rsid w:val="00A4602C"/>
    <w:rsid w:val="00A46129"/>
    <w:rsid w:val="00A46754"/>
    <w:rsid w:val="00A46942"/>
    <w:rsid w:val="00A46B19"/>
    <w:rsid w:val="00A46D59"/>
    <w:rsid w:val="00A4767D"/>
    <w:rsid w:val="00A47E08"/>
    <w:rsid w:val="00A50172"/>
    <w:rsid w:val="00A502C1"/>
    <w:rsid w:val="00A50992"/>
    <w:rsid w:val="00A50BA6"/>
    <w:rsid w:val="00A51934"/>
    <w:rsid w:val="00A53023"/>
    <w:rsid w:val="00A533F2"/>
    <w:rsid w:val="00A536F2"/>
    <w:rsid w:val="00A539B4"/>
    <w:rsid w:val="00A53E46"/>
    <w:rsid w:val="00A53F62"/>
    <w:rsid w:val="00A5460A"/>
    <w:rsid w:val="00A5483B"/>
    <w:rsid w:val="00A55000"/>
    <w:rsid w:val="00A55021"/>
    <w:rsid w:val="00A55FAE"/>
    <w:rsid w:val="00A570FC"/>
    <w:rsid w:val="00A57C6D"/>
    <w:rsid w:val="00A57D57"/>
    <w:rsid w:val="00A6062E"/>
    <w:rsid w:val="00A61B2F"/>
    <w:rsid w:val="00A61D67"/>
    <w:rsid w:val="00A6211D"/>
    <w:rsid w:val="00A6250F"/>
    <w:rsid w:val="00A62676"/>
    <w:rsid w:val="00A62B79"/>
    <w:rsid w:val="00A62C33"/>
    <w:rsid w:val="00A63859"/>
    <w:rsid w:val="00A638D6"/>
    <w:rsid w:val="00A63E63"/>
    <w:rsid w:val="00A6400E"/>
    <w:rsid w:val="00A64342"/>
    <w:rsid w:val="00A64594"/>
    <w:rsid w:val="00A64CAE"/>
    <w:rsid w:val="00A64E8F"/>
    <w:rsid w:val="00A651C4"/>
    <w:rsid w:val="00A65AD7"/>
    <w:rsid w:val="00A66164"/>
    <w:rsid w:val="00A66235"/>
    <w:rsid w:val="00A66336"/>
    <w:rsid w:val="00A66F6A"/>
    <w:rsid w:val="00A675FB"/>
    <w:rsid w:val="00A67863"/>
    <w:rsid w:val="00A67958"/>
    <w:rsid w:val="00A67F3E"/>
    <w:rsid w:val="00A7002E"/>
    <w:rsid w:val="00A70B9F"/>
    <w:rsid w:val="00A73ADD"/>
    <w:rsid w:val="00A7464D"/>
    <w:rsid w:val="00A75CC8"/>
    <w:rsid w:val="00A75D0E"/>
    <w:rsid w:val="00A75E8E"/>
    <w:rsid w:val="00A75FB7"/>
    <w:rsid w:val="00A766C4"/>
    <w:rsid w:val="00A76D8F"/>
    <w:rsid w:val="00A77443"/>
    <w:rsid w:val="00A77444"/>
    <w:rsid w:val="00A77606"/>
    <w:rsid w:val="00A77B31"/>
    <w:rsid w:val="00A807CB"/>
    <w:rsid w:val="00A811C4"/>
    <w:rsid w:val="00A832A8"/>
    <w:rsid w:val="00A835FC"/>
    <w:rsid w:val="00A8390D"/>
    <w:rsid w:val="00A83937"/>
    <w:rsid w:val="00A83D23"/>
    <w:rsid w:val="00A842A2"/>
    <w:rsid w:val="00A84450"/>
    <w:rsid w:val="00A8487C"/>
    <w:rsid w:val="00A84F8D"/>
    <w:rsid w:val="00A85E2F"/>
    <w:rsid w:val="00A86320"/>
    <w:rsid w:val="00A864AC"/>
    <w:rsid w:val="00A86656"/>
    <w:rsid w:val="00A87598"/>
    <w:rsid w:val="00A8768F"/>
    <w:rsid w:val="00A9273D"/>
    <w:rsid w:val="00A92743"/>
    <w:rsid w:val="00A9351B"/>
    <w:rsid w:val="00A93998"/>
    <w:rsid w:val="00A93DE9"/>
    <w:rsid w:val="00A93EA9"/>
    <w:rsid w:val="00A93EE0"/>
    <w:rsid w:val="00A944C8"/>
    <w:rsid w:val="00A94D51"/>
    <w:rsid w:val="00A953DD"/>
    <w:rsid w:val="00A954B5"/>
    <w:rsid w:val="00A95876"/>
    <w:rsid w:val="00A958D2"/>
    <w:rsid w:val="00A95928"/>
    <w:rsid w:val="00A970D3"/>
    <w:rsid w:val="00A97ACE"/>
    <w:rsid w:val="00A97E0E"/>
    <w:rsid w:val="00AA0610"/>
    <w:rsid w:val="00AA1CA9"/>
    <w:rsid w:val="00AA1FC2"/>
    <w:rsid w:val="00AA2350"/>
    <w:rsid w:val="00AA290D"/>
    <w:rsid w:val="00AA4114"/>
    <w:rsid w:val="00AA432B"/>
    <w:rsid w:val="00AA434E"/>
    <w:rsid w:val="00AA4402"/>
    <w:rsid w:val="00AA45E1"/>
    <w:rsid w:val="00AA46A0"/>
    <w:rsid w:val="00AA4898"/>
    <w:rsid w:val="00AA50BA"/>
    <w:rsid w:val="00AA528A"/>
    <w:rsid w:val="00AA58AC"/>
    <w:rsid w:val="00AA590D"/>
    <w:rsid w:val="00AA5B3F"/>
    <w:rsid w:val="00AA5E46"/>
    <w:rsid w:val="00AA63AB"/>
    <w:rsid w:val="00AA6481"/>
    <w:rsid w:val="00AA7278"/>
    <w:rsid w:val="00AA73FF"/>
    <w:rsid w:val="00AA7C13"/>
    <w:rsid w:val="00AB06D6"/>
    <w:rsid w:val="00AB0F97"/>
    <w:rsid w:val="00AB26FF"/>
    <w:rsid w:val="00AB2C1F"/>
    <w:rsid w:val="00AB2FF2"/>
    <w:rsid w:val="00AB319B"/>
    <w:rsid w:val="00AB3240"/>
    <w:rsid w:val="00AB32DE"/>
    <w:rsid w:val="00AB32F3"/>
    <w:rsid w:val="00AB3863"/>
    <w:rsid w:val="00AB3AF6"/>
    <w:rsid w:val="00AB3D6C"/>
    <w:rsid w:val="00AB3D94"/>
    <w:rsid w:val="00AB41D9"/>
    <w:rsid w:val="00AB4985"/>
    <w:rsid w:val="00AB4F09"/>
    <w:rsid w:val="00AB5496"/>
    <w:rsid w:val="00AB5518"/>
    <w:rsid w:val="00AB59B4"/>
    <w:rsid w:val="00AB5D76"/>
    <w:rsid w:val="00AB62EC"/>
    <w:rsid w:val="00AB6BDC"/>
    <w:rsid w:val="00AB7A29"/>
    <w:rsid w:val="00AB7E13"/>
    <w:rsid w:val="00AC00FF"/>
    <w:rsid w:val="00AC0CC4"/>
    <w:rsid w:val="00AC0E73"/>
    <w:rsid w:val="00AC13DE"/>
    <w:rsid w:val="00AC1AF2"/>
    <w:rsid w:val="00AC1C1D"/>
    <w:rsid w:val="00AC1F53"/>
    <w:rsid w:val="00AC2627"/>
    <w:rsid w:val="00AC2718"/>
    <w:rsid w:val="00AC3F7F"/>
    <w:rsid w:val="00AC4026"/>
    <w:rsid w:val="00AC4A9A"/>
    <w:rsid w:val="00AC5054"/>
    <w:rsid w:val="00AC515F"/>
    <w:rsid w:val="00AC54EC"/>
    <w:rsid w:val="00AC5609"/>
    <w:rsid w:val="00AC5638"/>
    <w:rsid w:val="00AC5FC0"/>
    <w:rsid w:val="00AC618D"/>
    <w:rsid w:val="00AC6B8D"/>
    <w:rsid w:val="00AC6C0D"/>
    <w:rsid w:val="00AC6D36"/>
    <w:rsid w:val="00AC755C"/>
    <w:rsid w:val="00AC78CD"/>
    <w:rsid w:val="00AC7DF0"/>
    <w:rsid w:val="00AC7ED1"/>
    <w:rsid w:val="00AD06C1"/>
    <w:rsid w:val="00AD0FE3"/>
    <w:rsid w:val="00AD102C"/>
    <w:rsid w:val="00AD1041"/>
    <w:rsid w:val="00AD1459"/>
    <w:rsid w:val="00AD1D2B"/>
    <w:rsid w:val="00AD1E92"/>
    <w:rsid w:val="00AD1EDA"/>
    <w:rsid w:val="00AD2211"/>
    <w:rsid w:val="00AD241A"/>
    <w:rsid w:val="00AD323D"/>
    <w:rsid w:val="00AD32D2"/>
    <w:rsid w:val="00AD34BF"/>
    <w:rsid w:val="00AD39B3"/>
    <w:rsid w:val="00AD441C"/>
    <w:rsid w:val="00AD447C"/>
    <w:rsid w:val="00AD4E0B"/>
    <w:rsid w:val="00AD4E6E"/>
    <w:rsid w:val="00AD50FC"/>
    <w:rsid w:val="00AD52A0"/>
    <w:rsid w:val="00AD530F"/>
    <w:rsid w:val="00AD5992"/>
    <w:rsid w:val="00AD612A"/>
    <w:rsid w:val="00AD6A82"/>
    <w:rsid w:val="00AD6B79"/>
    <w:rsid w:val="00AD6CAE"/>
    <w:rsid w:val="00AD7BF7"/>
    <w:rsid w:val="00AE026E"/>
    <w:rsid w:val="00AE0312"/>
    <w:rsid w:val="00AE0583"/>
    <w:rsid w:val="00AE0986"/>
    <w:rsid w:val="00AE09DD"/>
    <w:rsid w:val="00AE0A9F"/>
    <w:rsid w:val="00AE0CF4"/>
    <w:rsid w:val="00AE0F47"/>
    <w:rsid w:val="00AE1639"/>
    <w:rsid w:val="00AE1863"/>
    <w:rsid w:val="00AE273B"/>
    <w:rsid w:val="00AE31E0"/>
    <w:rsid w:val="00AE35AA"/>
    <w:rsid w:val="00AE3E65"/>
    <w:rsid w:val="00AE457B"/>
    <w:rsid w:val="00AE4A49"/>
    <w:rsid w:val="00AE5814"/>
    <w:rsid w:val="00AE5E89"/>
    <w:rsid w:val="00AE691D"/>
    <w:rsid w:val="00AE7860"/>
    <w:rsid w:val="00AF058D"/>
    <w:rsid w:val="00AF20B8"/>
    <w:rsid w:val="00AF25F8"/>
    <w:rsid w:val="00AF2611"/>
    <w:rsid w:val="00AF35E6"/>
    <w:rsid w:val="00AF3678"/>
    <w:rsid w:val="00AF3C59"/>
    <w:rsid w:val="00AF42DC"/>
    <w:rsid w:val="00AF4B8F"/>
    <w:rsid w:val="00AF4E67"/>
    <w:rsid w:val="00AF5FE3"/>
    <w:rsid w:val="00AF61B4"/>
    <w:rsid w:val="00AF6655"/>
    <w:rsid w:val="00AF6756"/>
    <w:rsid w:val="00AF719C"/>
    <w:rsid w:val="00AF792B"/>
    <w:rsid w:val="00B006CF"/>
    <w:rsid w:val="00B00C0C"/>
    <w:rsid w:val="00B010D3"/>
    <w:rsid w:val="00B01994"/>
    <w:rsid w:val="00B02AE0"/>
    <w:rsid w:val="00B02B93"/>
    <w:rsid w:val="00B035A9"/>
    <w:rsid w:val="00B0368C"/>
    <w:rsid w:val="00B0374B"/>
    <w:rsid w:val="00B038C3"/>
    <w:rsid w:val="00B03B5D"/>
    <w:rsid w:val="00B03C92"/>
    <w:rsid w:val="00B03F46"/>
    <w:rsid w:val="00B0494B"/>
    <w:rsid w:val="00B05A66"/>
    <w:rsid w:val="00B05B9D"/>
    <w:rsid w:val="00B0651C"/>
    <w:rsid w:val="00B0651D"/>
    <w:rsid w:val="00B067C2"/>
    <w:rsid w:val="00B06B94"/>
    <w:rsid w:val="00B07287"/>
    <w:rsid w:val="00B075BB"/>
    <w:rsid w:val="00B07701"/>
    <w:rsid w:val="00B0770F"/>
    <w:rsid w:val="00B07DD2"/>
    <w:rsid w:val="00B10132"/>
    <w:rsid w:val="00B105B0"/>
    <w:rsid w:val="00B106D4"/>
    <w:rsid w:val="00B107CB"/>
    <w:rsid w:val="00B108C1"/>
    <w:rsid w:val="00B10B74"/>
    <w:rsid w:val="00B10B7D"/>
    <w:rsid w:val="00B10D4B"/>
    <w:rsid w:val="00B110C5"/>
    <w:rsid w:val="00B12125"/>
    <w:rsid w:val="00B12CF0"/>
    <w:rsid w:val="00B12DD8"/>
    <w:rsid w:val="00B134E9"/>
    <w:rsid w:val="00B134F3"/>
    <w:rsid w:val="00B138C0"/>
    <w:rsid w:val="00B13A6A"/>
    <w:rsid w:val="00B13F0F"/>
    <w:rsid w:val="00B13F75"/>
    <w:rsid w:val="00B14979"/>
    <w:rsid w:val="00B169B6"/>
    <w:rsid w:val="00B17117"/>
    <w:rsid w:val="00B172C7"/>
    <w:rsid w:val="00B178AD"/>
    <w:rsid w:val="00B17CE6"/>
    <w:rsid w:val="00B20386"/>
    <w:rsid w:val="00B20715"/>
    <w:rsid w:val="00B2138E"/>
    <w:rsid w:val="00B21872"/>
    <w:rsid w:val="00B220D1"/>
    <w:rsid w:val="00B233BE"/>
    <w:rsid w:val="00B234E6"/>
    <w:rsid w:val="00B236EF"/>
    <w:rsid w:val="00B23A1C"/>
    <w:rsid w:val="00B23FC6"/>
    <w:rsid w:val="00B243E4"/>
    <w:rsid w:val="00B24A74"/>
    <w:rsid w:val="00B24BB8"/>
    <w:rsid w:val="00B25867"/>
    <w:rsid w:val="00B25B5A"/>
    <w:rsid w:val="00B25D59"/>
    <w:rsid w:val="00B25DB5"/>
    <w:rsid w:val="00B2626D"/>
    <w:rsid w:val="00B265B6"/>
    <w:rsid w:val="00B26647"/>
    <w:rsid w:val="00B27AE7"/>
    <w:rsid w:val="00B30134"/>
    <w:rsid w:val="00B31CA9"/>
    <w:rsid w:val="00B31D4C"/>
    <w:rsid w:val="00B3247A"/>
    <w:rsid w:val="00B32AC4"/>
    <w:rsid w:val="00B32D2E"/>
    <w:rsid w:val="00B32F91"/>
    <w:rsid w:val="00B33A5C"/>
    <w:rsid w:val="00B34085"/>
    <w:rsid w:val="00B34438"/>
    <w:rsid w:val="00B3452A"/>
    <w:rsid w:val="00B3459A"/>
    <w:rsid w:val="00B345EE"/>
    <w:rsid w:val="00B3599E"/>
    <w:rsid w:val="00B36E40"/>
    <w:rsid w:val="00B3734E"/>
    <w:rsid w:val="00B37495"/>
    <w:rsid w:val="00B377D4"/>
    <w:rsid w:val="00B37AC7"/>
    <w:rsid w:val="00B37BA5"/>
    <w:rsid w:val="00B4141A"/>
    <w:rsid w:val="00B4210E"/>
    <w:rsid w:val="00B42722"/>
    <w:rsid w:val="00B4274A"/>
    <w:rsid w:val="00B43355"/>
    <w:rsid w:val="00B43944"/>
    <w:rsid w:val="00B43B52"/>
    <w:rsid w:val="00B43E95"/>
    <w:rsid w:val="00B4403D"/>
    <w:rsid w:val="00B44AAA"/>
    <w:rsid w:val="00B452BF"/>
    <w:rsid w:val="00B45BB9"/>
    <w:rsid w:val="00B45CE6"/>
    <w:rsid w:val="00B463BA"/>
    <w:rsid w:val="00B4736B"/>
    <w:rsid w:val="00B47F33"/>
    <w:rsid w:val="00B50914"/>
    <w:rsid w:val="00B50A50"/>
    <w:rsid w:val="00B50C6E"/>
    <w:rsid w:val="00B50C6F"/>
    <w:rsid w:val="00B50EC4"/>
    <w:rsid w:val="00B50FDB"/>
    <w:rsid w:val="00B51AAD"/>
    <w:rsid w:val="00B51CEC"/>
    <w:rsid w:val="00B5295D"/>
    <w:rsid w:val="00B53E7D"/>
    <w:rsid w:val="00B54FC6"/>
    <w:rsid w:val="00B5664C"/>
    <w:rsid w:val="00B56706"/>
    <w:rsid w:val="00B56894"/>
    <w:rsid w:val="00B5762A"/>
    <w:rsid w:val="00B577DD"/>
    <w:rsid w:val="00B577FC"/>
    <w:rsid w:val="00B5788A"/>
    <w:rsid w:val="00B57BEA"/>
    <w:rsid w:val="00B60C7C"/>
    <w:rsid w:val="00B60D77"/>
    <w:rsid w:val="00B60E03"/>
    <w:rsid w:val="00B61140"/>
    <w:rsid w:val="00B61454"/>
    <w:rsid w:val="00B614BD"/>
    <w:rsid w:val="00B614F0"/>
    <w:rsid w:val="00B61D94"/>
    <w:rsid w:val="00B62020"/>
    <w:rsid w:val="00B626BD"/>
    <w:rsid w:val="00B62A22"/>
    <w:rsid w:val="00B62E05"/>
    <w:rsid w:val="00B62FCE"/>
    <w:rsid w:val="00B63536"/>
    <w:rsid w:val="00B65460"/>
    <w:rsid w:val="00B65C1A"/>
    <w:rsid w:val="00B65E59"/>
    <w:rsid w:val="00B66C37"/>
    <w:rsid w:val="00B67775"/>
    <w:rsid w:val="00B67B07"/>
    <w:rsid w:val="00B67BB2"/>
    <w:rsid w:val="00B70039"/>
    <w:rsid w:val="00B70525"/>
    <w:rsid w:val="00B7172A"/>
    <w:rsid w:val="00B71B08"/>
    <w:rsid w:val="00B72413"/>
    <w:rsid w:val="00B726A1"/>
    <w:rsid w:val="00B72B9E"/>
    <w:rsid w:val="00B738D3"/>
    <w:rsid w:val="00B7404C"/>
    <w:rsid w:val="00B74148"/>
    <w:rsid w:val="00B745B0"/>
    <w:rsid w:val="00B74A30"/>
    <w:rsid w:val="00B74D41"/>
    <w:rsid w:val="00B74E7A"/>
    <w:rsid w:val="00B7648F"/>
    <w:rsid w:val="00B766D6"/>
    <w:rsid w:val="00B768F5"/>
    <w:rsid w:val="00B76A46"/>
    <w:rsid w:val="00B76FB2"/>
    <w:rsid w:val="00B773DD"/>
    <w:rsid w:val="00B77720"/>
    <w:rsid w:val="00B77B98"/>
    <w:rsid w:val="00B8124E"/>
    <w:rsid w:val="00B815E5"/>
    <w:rsid w:val="00B81E5B"/>
    <w:rsid w:val="00B827CA"/>
    <w:rsid w:val="00B829D0"/>
    <w:rsid w:val="00B82C4C"/>
    <w:rsid w:val="00B82D6C"/>
    <w:rsid w:val="00B83847"/>
    <w:rsid w:val="00B83A0C"/>
    <w:rsid w:val="00B84E42"/>
    <w:rsid w:val="00B84EB2"/>
    <w:rsid w:val="00B84FF9"/>
    <w:rsid w:val="00B851B5"/>
    <w:rsid w:val="00B860AF"/>
    <w:rsid w:val="00B86662"/>
    <w:rsid w:val="00B87A4D"/>
    <w:rsid w:val="00B9015B"/>
    <w:rsid w:val="00B91019"/>
    <w:rsid w:val="00B9161E"/>
    <w:rsid w:val="00B919E9"/>
    <w:rsid w:val="00B928C3"/>
    <w:rsid w:val="00B92C0C"/>
    <w:rsid w:val="00B92CB3"/>
    <w:rsid w:val="00B92FC3"/>
    <w:rsid w:val="00B953C4"/>
    <w:rsid w:val="00B964AF"/>
    <w:rsid w:val="00B96797"/>
    <w:rsid w:val="00B96B21"/>
    <w:rsid w:val="00B96F61"/>
    <w:rsid w:val="00B975C1"/>
    <w:rsid w:val="00B97633"/>
    <w:rsid w:val="00B976E9"/>
    <w:rsid w:val="00BA0076"/>
    <w:rsid w:val="00BA0297"/>
    <w:rsid w:val="00BA0332"/>
    <w:rsid w:val="00BA0537"/>
    <w:rsid w:val="00BA0E3D"/>
    <w:rsid w:val="00BA149D"/>
    <w:rsid w:val="00BA1C13"/>
    <w:rsid w:val="00BA1D5B"/>
    <w:rsid w:val="00BA1FA9"/>
    <w:rsid w:val="00BA20B8"/>
    <w:rsid w:val="00BA2362"/>
    <w:rsid w:val="00BA2975"/>
    <w:rsid w:val="00BA2F43"/>
    <w:rsid w:val="00BA3290"/>
    <w:rsid w:val="00BA33E1"/>
    <w:rsid w:val="00BA444B"/>
    <w:rsid w:val="00BA4612"/>
    <w:rsid w:val="00BA47A4"/>
    <w:rsid w:val="00BA4952"/>
    <w:rsid w:val="00BA4B06"/>
    <w:rsid w:val="00BA56A3"/>
    <w:rsid w:val="00BA5F1F"/>
    <w:rsid w:val="00BA669E"/>
    <w:rsid w:val="00BA674D"/>
    <w:rsid w:val="00BA6893"/>
    <w:rsid w:val="00BA6AEB"/>
    <w:rsid w:val="00BA6FF1"/>
    <w:rsid w:val="00BA7A03"/>
    <w:rsid w:val="00BB03D1"/>
    <w:rsid w:val="00BB053A"/>
    <w:rsid w:val="00BB09ED"/>
    <w:rsid w:val="00BB0C9D"/>
    <w:rsid w:val="00BB0E81"/>
    <w:rsid w:val="00BB109F"/>
    <w:rsid w:val="00BB2AAB"/>
    <w:rsid w:val="00BB2AF1"/>
    <w:rsid w:val="00BB2E3A"/>
    <w:rsid w:val="00BB30E7"/>
    <w:rsid w:val="00BB3679"/>
    <w:rsid w:val="00BB42E2"/>
    <w:rsid w:val="00BB48FC"/>
    <w:rsid w:val="00BB5526"/>
    <w:rsid w:val="00BB6133"/>
    <w:rsid w:val="00BB629D"/>
    <w:rsid w:val="00BB6DB0"/>
    <w:rsid w:val="00BB71A5"/>
    <w:rsid w:val="00BB7ACA"/>
    <w:rsid w:val="00BB7FA1"/>
    <w:rsid w:val="00BB7FF8"/>
    <w:rsid w:val="00BC066B"/>
    <w:rsid w:val="00BC148D"/>
    <w:rsid w:val="00BC15EF"/>
    <w:rsid w:val="00BC18DA"/>
    <w:rsid w:val="00BC1B1E"/>
    <w:rsid w:val="00BC21F0"/>
    <w:rsid w:val="00BC2450"/>
    <w:rsid w:val="00BC2ED1"/>
    <w:rsid w:val="00BC3266"/>
    <w:rsid w:val="00BC351F"/>
    <w:rsid w:val="00BC49DE"/>
    <w:rsid w:val="00BC5010"/>
    <w:rsid w:val="00BC58D8"/>
    <w:rsid w:val="00BC6F84"/>
    <w:rsid w:val="00BC6FEA"/>
    <w:rsid w:val="00BD128D"/>
    <w:rsid w:val="00BD1B21"/>
    <w:rsid w:val="00BD1CD9"/>
    <w:rsid w:val="00BD1FB6"/>
    <w:rsid w:val="00BD230A"/>
    <w:rsid w:val="00BD2B35"/>
    <w:rsid w:val="00BD2DB7"/>
    <w:rsid w:val="00BD2DCC"/>
    <w:rsid w:val="00BD2E2A"/>
    <w:rsid w:val="00BD36EA"/>
    <w:rsid w:val="00BD39B7"/>
    <w:rsid w:val="00BD3BA3"/>
    <w:rsid w:val="00BD3DA6"/>
    <w:rsid w:val="00BD4612"/>
    <w:rsid w:val="00BD5501"/>
    <w:rsid w:val="00BD67BA"/>
    <w:rsid w:val="00BD6CCA"/>
    <w:rsid w:val="00BD6F83"/>
    <w:rsid w:val="00BD79D1"/>
    <w:rsid w:val="00BD79DD"/>
    <w:rsid w:val="00BE074D"/>
    <w:rsid w:val="00BE0A7E"/>
    <w:rsid w:val="00BE0B63"/>
    <w:rsid w:val="00BE0DB3"/>
    <w:rsid w:val="00BE14D3"/>
    <w:rsid w:val="00BE1A79"/>
    <w:rsid w:val="00BE2312"/>
    <w:rsid w:val="00BE2497"/>
    <w:rsid w:val="00BE2736"/>
    <w:rsid w:val="00BE3023"/>
    <w:rsid w:val="00BE37B6"/>
    <w:rsid w:val="00BE389C"/>
    <w:rsid w:val="00BE3FC7"/>
    <w:rsid w:val="00BE49D8"/>
    <w:rsid w:val="00BE6A07"/>
    <w:rsid w:val="00BE6B21"/>
    <w:rsid w:val="00BE7036"/>
    <w:rsid w:val="00BE7301"/>
    <w:rsid w:val="00BE7721"/>
    <w:rsid w:val="00BE785B"/>
    <w:rsid w:val="00BF0352"/>
    <w:rsid w:val="00BF09C1"/>
    <w:rsid w:val="00BF1368"/>
    <w:rsid w:val="00BF13E9"/>
    <w:rsid w:val="00BF1585"/>
    <w:rsid w:val="00BF1A54"/>
    <w:rsid w:val="00BF1DDF"/>
    <w:rsid w:val="00BF20A2"/>
    <w:rsid w:val="00BF228A"/>
    <w:rsid w:val="00BF23C7"/>
    <w:rsid w:val="00BF2FCD"/>
    <w:rsid w:val="00BF329B"/>
    <w:rsid w:val="00BF3E34"/>
    <w:rsid w:val="00BF40B7"/>
    <w:rsid w:val="00BF4315"/>
    <w:rsid w:val="00BF461F"/>
    <w:rsid w:val="00BF4E7E"/>
    <w:rsid w:val="00BF5269"/>
    <w:rsid w:val="00BF574B"/>
    <w:rsid w:val="00BF5A6A"/>
    <w:rsid w:val="00BF6325"/>
    <w:rsid w:val="00BF6DC7"/>
    <w:rsid w:val="00BF6F1D"/>
    <w:rsid w:val="00BF7561"/>
    <w:rsid w:val="00BF7684"/>
    <w:rsid w:val="00C006EA"/>
    <w:rsid w:val="00C00713"/>
    <w:rsid w:val="00C0138A"/>
    <w:rsid w:val="00C02719"/>
    <w:rsid w:val="00C02FD9"/>
    <w:rsid w:val="00C03234"/>
    <w:rsid w:val="00C03471"/>
    <w:rsid w:val="00C0351B"/>
    <w:rsid w:val="00C0382D"/>
    <w:rsid w:val="00C04C92"/>
    <w:rsid w:val="00C05263"/>
    <w:rsid w:val="00C054C0"/>
    <w:rsid w:val="00C059ED"/>
    <w:rsid w:val="00C05FB6"/>
    <w:rsid w:val="00C0608A"/>
    <w:rsid w:val="00C06F34"/>
    <w:rsid w:val="00C071D8"/>
    <w:rsid w:val="00C07995"/>
    <w:rsid w:val="00C10D7D"/>
    <w:rsid w:val="00C11349"/>
    <w:rsid w:val="00C11387"/>
    <w:rsid w:val="00C11CFC"/>
    <w:rsid w:val="00C12478"/>
    <w:rsid w:val="00C124E1"/>
    <w:rsid w:val="00C12B6B"/>
    <w:rsid w:val="00C12DA1"/>
    <w:rsid w:val="00C132E0"/>
    <w:rsid w:val="00C13699"/>
    <w:rsid w:val="00C137C3"/>
    <w:rsid w:val="00C138B9"/>
    <w:rsid w:val="00C13A96"/>
    <w:rsid w:val="00C13E17"/>
    <w:rsid w:val="00C140A0"/>
    <w:rsid w:val="00C15488"/>
    <w:rsid w:val="00C156B8"/>
    <w:rsid w:val="00C16AF4"/>
    <w:rsid w:val="00C1768E"/>
    <w:rsid w:val="00C178AD"/>
    <w:rsid w:val="00C17F00"/>
    <w:rsid w:val="00C17F70"/>
    <w:rsid w:val="00C206FC"/>
    <w:rsid w:val="00C20EB4"/>
    <w:rsid w:val="00C214A2"/>
    <w:rsid w:val="00C21848"/>
    <w:rsid w:val="00C219F1"/>
    <w:rsid w:val="00C21B62"/>
    <w:rsid w:val="00C22803"/>
    <w:rsid w:val="00C228FE"/>
    <w:rsid w:val="00C23779"/>
    <w:rsid w:val="00C24332"/>
    <w:rsid w:val="00C244B1"/>
    <w:rsid w:val="00C24B33"/>
    <w:rsid w:val="00C25263"/>
    <w:rsid w:val="00C2585C"/>
    <w:rsid w:val="00C26063"/>
    <w:rsid w:val="00C26513"/>
    <w:rsid w:val="00C2659C"/>
    <w:rsid w:val="00C26976"/>
    <w:rsid w:val="00C26D90"/>
    <w:rsid w:val="00C27175"/>
    <w:rsid w:val="00C27604"/>
    <w:rsid w:val="00C27768"/>
    <w:rsid w:val="00C27BB5"/>
    <w:rsid w:val="00C303BB"/>
    <w:rsid w:val="00C314A3"/>
    <w:rsid w:val="00C316C3"/>
    <w:rsid w:val="00C31831"/>
    <w:rsid w:val="00C31D4C"/>
    <w:rsid w:val="00C3214C"/>
    <w:rsid w:val="00C3432F"/>
    <w:rsid w:val="00C345B9"/>
    <w:rsid w:val="00C3599D"/>
    <w:rsid w:val="00C362EF"/>
    <w:rsid w:val="00C36D99"/>
    <w:rsid w:val="00C37214"/>
    <w:rsid w:val="00C37AC1"/>
    <w:rsid w:val="00C40806"/>
    <w:rsid w:val="00C42094"/>
    <w:rsid w:val="00C424D7"/>
    <w:rsid w:val="00C43464"/>
    <w:rsid w:val="00C43B50"/>
    <w:rsid w:val="00C43C3F"/>
    <w:rsid w:val="00C43D02"/>
    <w:rsid w:val="00C443E8"/>
    <w:rsid w:val="00C44A0B"/>
    <w:rsid w:val="00C451A1"/>
    <w:rsid w:val="00C45827"/>
    <w:rsid w:val="00C45990"/>
    <w:rsid w:val="00C45AA1"/>
    <w:rsid w:val="00C45CFB"/>
    <w:rsid w:val="00C4620D"/>
    <w:rsid w:val="00C465ED"/>
    <w:rsid w:val="00C46E7B"/>
    <w:rsid w:val="00C4750D"/>
    <w:rsid w:val="00C47E80"/>
    <w:rsid w:val="00C50671"/>
    <w:rsid w:val="00C50ABA"/>
    <w:rsid w:val="00C50EFB"/>
    <w:rsid w:val="00C50F52"/>
    <w:rsid w:val="00C513CD"/>
    <w:rsid w:val="00C51728"/>
    <w:rsid w:val="00C52210"/>
    <w:rsid w:val="00C525D2"/>
    <w:rsid w:val="00C52F89"/>
    <w:rsid w:val="00C52FFD"/>
    <w:rsid w:val="00C53A6E"/>
    <w:rsid w:val="00C53E64"/>
    <w:rsid w:val="00C55147"/>
    <w:rsid w:val="00C554E1"/>
    <w:rsid w:val="00C5560C"/>
    <w:rsid w:val="00C5572E"/>
    <w:rsid w:val="00C558AF"/>
    <w:rsid w:val="00C55F62"/>
    <w:rsid w:val="00C56203"/>
    <w:rsid w:val="00C56E24"/>
    <w:rsid w:val="00C56F21"/>
    <w:rsid w:val="00C572EC"/>
    <w:rsid w:val="00C57D0B"/>
    <w:rsid w:val="00C60F93"/>
    <w:rsid w:val="00C61C95"/>
    <w:rsid w:val="00C62140"/>
    <w:rsid w:val="00C647E2"/>
    <w:rsid w:val="00C649A9"/>
    <w:rsid w:val="00C64BD1"/>
    <w:rsid w:val="00C6544C"/>
    <w:rsid w:val="00C658DD"/>
    <w:rsid w:val="00C65BEF"/>
    <w:rsid w:val="00C65C37"/>
    <w:rsid w:val="00C66608"/>
    <w:rsid w:val="00C66AD2"/>
    <w:rsid w:val="00C66BF4"/>
    <w:rsid w:val="00C66F09"/>
    <w:rsid w:val="00C66F51"/>
    <w:rsid w:val="00C66FD3"/>
    <w:rsid w:val="00C6714F"/>
    <w:rsid w:val="00C70612"/>
    <w:rsid w:val="00C70CCC"/>
    <w:rsid w:val="00C7173E"/>
    <w:rsid w:val="00C71E85"/>
    <w:rsid w:val="00C71ED2"/>
    <w:rsid w:val="00C72102"/>
    <w:rsid w:val="00C72737"/>
    <w:rsid w:val="00C72B9F"/>
    <w:rsid w:val="00C737D2"/>
    <w:rsid w:val="00C73F3B"/>
    <w:rsid w:val="00C74847"/>
    <w:rsid w:val="00C74D02"/>
    <w:rsid w:val="00C75D0B"/>
    <w:rsid w:val="00C76561"/>
    <w:rsid w:val="00C7674D"/>
    <w:rsid w:val="00C76905"/>
    <w:rsid w:val="00C76E45"/>
    <w:rsid w:val="00C770AE"/>
    <w:rsid w:val="00C776FD"/>
    <w:rsid w:val="00C80A6A"/>
    <w:rsid w:val="00C81B45"/>
    <w:rsid w:val="00C81FB3"/>
    <w:rsid w:val="00C82CCD"/>
    <w:rsid w:val="00C83189"/>
    <w:rsid w:val="00C835B2"/>
    <w:rsid w:val="00C838F6"/>
    <w:rsid w:val="00C8402C"/>
    <w:rsid w:val="00C86001"/>
    <w:rsid w:val="00C86098"/>
    <w:rsid w:val="00C87139"/>
    <w:rsid w:val="00C87A51"/>
    <w:rsid w:val="00C87ED6"/>
    <w:rsid w:val="00C900E0"/>
    <w:rsid w:val="00C90E36"/>
    <w:rsid w:val="00C91297"/>
    <w:rsid w:val="00C9166B"/>
    <w:rsid w:val="00C92295"/>
    <w:rsid w:val="00C923C9"/>
    <w:rsid w:val="00C92B74"/>
    <w:rsid w:val="00C93140"/>
    <w:rsid w:val="00C9373D"/>
    <w:rsid w:val="00C93F2C"/>
    <w:rsid w:val="00C9418C"/>
    <w:rsid w:val="00C94429"/>
    <w:rsid w:val="00C9486A"/>
    <w:rsid w:val="00C9497C"/>
    <w:rsid w:val="00C94A37"/>
    <w:rsid w:val="00C94BA0"/>
    <w:rsid w:val="00C9503B"/>
    <w:rsid w:val="00C951B0"/>
    <w:rsid w:val="00C9552B"/>
    <w:rsid w:val="00C959CA"/>
    <w:rsid w:val="00C96221"/>
    <w:rsid w:val="00C96570"/>
    <w:rsid w:val="00C97147"/>
    <w:rsid w:val="00C971EC"/>
    <w:rsid w:val="00C97DAF"/>
    <w:rsid w:val="00CA02AF"/>
    <w:rsid w:val="00CA06EC"/>
    <w:rsid w:val="00CA07F9"/>
    <w:rsid w:val="00CA0AF1"/>
    <w:rsid w:val="00CA0F09"/>
    <w:rsid w:val="00CA1C5B"/>
    <w:rsid w:val="00CA1E79"/>
    <w:rsid w:val="00CA2057"/>
    <w:rsid w:val="00CA2081"/>
    <w:rsid w:val="00CA20F5"/>
    <w:rsid w:val="00CA2710"/>
    <w:rsid w:val="00CA2999"/>
    <w:rsid w:val="00CA338E"/>
    <w:rsid w:val="00CA380D"/>
    <w:rsid w:val="00CA4161"/>
    <w:rsid w:val="00CA52F4"/>
    <w:rsid w:val="00CA652A"/>
    <w:rsid w:val="00CA66B0"/>
    <w:rsid w:val="00CA693B"/>
    <w:rsid w:val="00CA6981"/>
    <w:rsid w:val="00CA7FB1"/>
    <w:rsid w:val="00CB02EE"/>
    <w:rsid w:val="00CB0A68"/>
    <w:rsid w:val="00CB0C82"/>
    <w:rsid w:val="00CB0DAF"/>
    <w:rsid w:val="00CB10F1"/>
    <w:rsid w:val="00CB117B"/>
    <w:rsid w:val="00CB1437"/>
    <w:rsid w:val="00CB147F"/>
    <w:rsid w:val="00CB1728"/>
    <w:rsid w:val="00CB290B"/>
    <w:rsid w:val="00CB472A"/>
    <w:rsid w:val="00CB4B81"/>
    <w:rsid w:val="00CB4CE9"/>
    <w:rsid w:val="00CB4E41"/>
    <w:rsid w:val="00CB4F71"/>
    <w:rsid w:val="00CB57BA"/>
    <w:rsid w:val="00CB6067"/>
    <w:rsid w:val="00CB61E3"/>
    <w:rsid w:val="00CB61E8"/>
    <w:rsid w:val="00CB6824"/>
    <w:rsid w:val="00CB7488"/>
    <w:rsid w:val="00CB7A4A"/>
    <w:rsid w:val="00CC01BF"/>
    <w:rsid w:val="00CC01EE"/>
    <w:rsid w:val="00CC11F1"/>
    <w:rsid w:val="00CC275D"/>
    <w:rsid w:val="00CC28A3"/>
    <w:rsid w:val="00CC2B43"/>
    <w:rsid w:val="00CC3729"/>
    <w:rsid w:val="00CC3BE8"/>
    <w:rsid w:val="00CC3FA4"/>
    <w:rsid w:val="00CC43CC"/>
    <w:rsid w:val="00CC4DD5"/>
    <w:rsid w:val="00CC59EF"/>
    <w:rsid w:val="00CC5B67"/>
    <w:rsid w:val="00CC5EEB"/>
    <w:rsid w:val="00CC6476"/>
    <w:rsid w:val="00CC73F1"/>
    <w:rsid w:val="00CC777D"/>
    <w:rsid w:val="00CD0567"/>
    <w:rsid w:val="00CD107E"/>
    <w:rsid w:val="00CD1CF6"/>
    <w:rsid w:val="00CD2180"/>
    <w:rsid w:val="00CD221E"/>
    <w:rsid w:val="00CD397B"/>
    <w:rsid w:val="00CD4505"/>
    <w:rsid w:val="00CD4EEF"/>
    <w:rsid w:val="00CD522F"/>
    <w:rsid w:val="00CD54E1"/>
    <w:rsid w:val="00CD648E"/>
    <w:rsid w:val="00CD6DBB"/>
    <w:rsid w:val="00CE0119"/>
    <w:rsid w:val="00CE01A8"/>
    <w:rsid w:val="00CE039D"/>
    <w:rsid w:val="00CE05F7"/>
    <w:rsid w:val="00CE0C40"/>
    <w:rsid w:val="00CE125C"/>
    <w:rsid w:val="00CE1470"/>
    <w:rsid w:val="00CE1ADC"/>
    <w:rsid w:val="00CE1FD1"/>
    <w:rsid w:val="00CE25AD"/>
    <w:rsid w:val="00CE2B34"/>
    <w:rsid w:val="00CE3119"/>
    <w:rsid w:val="00CE3391"/>
    <w:rsid w:val="00CE33FF"/>
    <w:rsid w:val="00CE35D5"/>
    <w:rsid w:val="00CE42DD"/>
    <w:rsid w:val="00CE571B"/>
    <w:rsid w:val="00CE6035"/>
    <w:rsid w:val="00CE61BE"/>
    <w:rsid w:val="00CE6591"/>
    <w:rsid w:val="00CE7746"/>
    <w:rsid w:val="00CE7A41"/>
    <w:rsid w:val="00CE7B16"/>
    <w:rsid w:val="00CF0185"/>
    <w:rsid w:val="00CF098A"/>
    <w:rsid w:val="00CF11E7"/>
    <w:rsid w:val="00CF13A0"/>
    <w:rsid w:val="00CF1F4F"/>
    <w:rsid w:val="00CF34C5"/>
    <w:rsid w:val="00CF397D"/>
    <w:rsid w:val="00CF4054"/>
    <w:rsid w:val="00CF4CE9"/>
    <w:rsid w:val="00CF4D58"/>
    <w:rsid w:val="00CF52FB"/>
    <w:rsid w:val="00CF5465"/>
    <w:rsid w:val="00CF6252"/>
    <w:rsid w:val="00CF6651"/>
    <w:rsid w:val="00CF7786"/>
    <w:rsid w:val="00CF7B8A"/>
    <w:rsid w:val="00D00432"/>
    <w:rsid w:val="00D00531"/>
    <w:rsid w:val="00D0086C"/>
    <w:rsid w:val="00D00997"/>
    <w:rsid w:val="00D01835"/>
    <w:rsid w:val="00D01FA4"/>
    <w:rsid w:val="00D023C5"/>
    <w:rsid w:val="00D03BA6"/>
    <w:rsid w:val="00D03E0D"/>
    <w:rsid w:val="00D04029"/>
    <w:rsid w:val="00D04973"/>
    <w:rsid w:val="00D04A9B"/>
    <w:rsid w:val="00D04F31"/>
    <w:rsid w:val="00D05C27"/>
    <w:rsid w:val="00D0667F"/>
    <w:rsid w:val="00D068A8"/>
    <w:rsid w:val="00D069C4"/>
    <w:rsid w:val="00D06AB7"/>
    <w:rsid w:val="00D06F66"/>
    <w:rsid w:val="00D07476"/>
    <w:rsid w:val="00D07711"/>
    <w:rsid w:val="00D10763"/>
    <w:rsid w:val="00D10EF2"/>
    <w:rsid w:val="00D11271"/>
    <w:rsid w:val="00D11741"/>
    <w:rsid w:val="00D11F48"/>
    <w:rsid w:val="00D12036"/>
    <w:rsid w:val="00D12B62"/>
    <w:rsid w:val="00D12E34"/>
    <w:rsid w:val="00D1300F"/>
    <w:rsid w:val="00D1303B"/>
    <w:rsid w:val="00D13898"/>
    <w:rsid w:val="00D13DDA"/>
    <w:rsid w:val="00D14677"/>
    <w:rsid w:val="00D15A20"/>
    <w:rsid w:val="00D15F5C"/>
    <w:rsid w:val="00D16109"/>
    <w:rsid w:val="00D16E04"/>
    <w:rsid w:val="00D17767"/>
    <w:rsid w:val="00D2014C"/>
    <w:rsid w:val="00D2027F"/>
    <w:rsid w:val="00D20482"/>
    <w:rsid w:val="00D20BAB"/>
    <w:rsid w:val="00D21108"/>
    <w:rsid w:val="00D2146E"/>
    <w:rsid w:val="00D21B30"/>
    <w:rsid w:val="00D22AA5"/>
    <w:rsid w:val="00D23021"/>
    <w:rsid w:val="00D238DE"/>
    <w:rsid w:val="00D2405A"/>
    <w:rsid w:val="00D24698"/>
    <w:rsid w:val="00D24FD1"/>
    <w:rsid w:val="00D25FCE"/>
    <w:rsid w:val="00D26350"/>
    <w:rsid w:val="00D27E39"/>
    <w:rsid w:val="00D30601"/>
    <w:rsid w:val="00D30988"/>
    <w:rsid w:val="00D319F3"/>
    <w:rsid w:val="00D329A3"/>
    <w:rsid w:val="00D32B2F"/>
    <w:rsid w:val="00D32CBF"/>
    <w:rsid w:val="00D33885"/>
    <w:rsid w:val="00D33C6E"/>
    <w:rsid w:val="00D33E1A"/>
    <w:rsid w:val="00D3434B"/>
    <w:rsid w:val="00D349BE"/>
    <w:rsid w:val="00D34B92"/>
    <w:rsid w:val="00D34D11"/>
    <w:rsid w:val="00D34DEB"/>
    <w:rsid w:val="00D35250"/>
    <w:rsid w:val="00D353B9"/>
    <w:rsid w:val="00D3585E"/>
    <w:rsid w:val="00D35D4B"/>
    <w:rsid w:val="00D3661E"/>
    <w:rsid w:val="00D36808"/>
    <w:rsid w:val="00D3694B"/>
    <w:rsid w:val="00D37073"/>
    <w:rsid w:val="00D3786F"/>
    <w:rsid w:val="00D408DD"/>
    <w:rsid w:val="00D40D00"/>
    <w:rsid w:val="00D40E6A"/>
    <w:rsid w:val="00D41298"/>
    <w:rsid w:val="00D41914"/>
    <w:rsid w:val="00D429AB"/>
    <w:rsid w:val="00D42D2F"/>
    <w:rsid w:val="00D42E5C"/>
    <w:rsid w:val="00D451CD"/>
    <w:rsid w:val="00D453B9"/>
    <w:rsid w:val="00D45C34"/>
    <w:rsid w:val="00D45DEF"/>
    <w:rsid w:val="00D464FC"/>
    <w:rsid w:val="00D465C2"/>
    <w:rsid w:val="00D466B4"/>
    <w:rsid w:val="00D4737F"/>
    <w:rsid w:val="00D50574"/>
    <w:rsid w:val="00D50625"/>
    <w:rsid w:val="00D50DC9"/>
    <w:rsid w:val="00D5152B"/>
    <w:rsid w:val="00D51BDE"/>
    <w:rsid w:val="00D5266E"/>
    <w:rsid w:val="00D52E10"/>
    <w:rsid w:val="00D5342F"/>
    <w:rsid w:val="00D537D8"/>
    <w:rsid w:val="00D53E23"/>
    <w:rsid w:val="00D54721"/>
    <w:rsid w:val="00D551BD"/>
    <w:rsid w:val="00D555F3"/>
    <w:rsid w:val="00D55A1C"/>
    <w:rsid w:val="00D55AD4"/>
    <w:rsid w:val="00D56114"/>
    <w:rsid w:val="00D57E97"/>
    <w:rsid w:val="00D603B7"/>
    <w:rsid w:val="00D608A3"/>
    <w:rsid w:val="00D61EDB"/>
    <w:rsid w:val="00D61F09"/>
    <w:rsid w:val="00D620CC"/>
    <w:rsid w:val="00D6227A"/>
    <w:rsid w:val="00D62ACD"/>
    <w:rsid w:val="00D634EA"/>
    <w:rsid w:val="00D6353B"/>
    <w:rsid w:val="00D648AC"/>
    <w:rsid w:val="00D64C86"/>
    <w:rsid w:val="00D64F87"/>
    <w:rsid w:val="00D65106"/>
    <w:rsid w:val="00D653F8"/>
    <w:rsid w:val="00D6555F"/>
    <w:rsid w:val="00D65612"/>
    <w:rsid w:val="00D67523"/>
    <w:rsid w:val="00D709CC"/>
    <w:rsid w:val="00D718FB"/>
    <w:rsid w:val="00D71A7A"/>
    <w:rsid w:val="00D72159"/>
    <w:rsid w:val="00D72695"/>
    <w:rsid w:val="00D72DF3"/>
    <w:rsid w:val="00D72F36"/>
    <w:rsid w:val="00D72F48"/>
    <w:rsid w:val="00D730D2"/>
    <w:rsid w:val="00D73139"/>
    <w:rsid w:val="00D738D6"/>
    <w:rsid w:val="00D73F4F"/>
    <w:rsid w:val="00D747F8"/>
    <w:rsid w:val="00D74A20"/>
    <w:rsid w:val="00D74A47"/>
    <w:rsid w:val="00D754EF"/>
    <w:rsid w:val="00D76758"/>
    <w:rsid w:val="00D7698B"/>
    <w:rsid w:val="00D77395"/>
    <w:rsid w:val="00D77ACF"/>
    <w:rsid w:val="00D77D86"/>
    <w:rsid w:val="00D8076F"/>
    <w:rsid w:val="00D80FB6"/>
    <w:rsid w:val="00D81851"/>
    <w:rsid w:val="00D82404"/>
    <w:rsid w:val="00D82A2A"/>
    <w:rsid w:val="00D831FF"/>
    <w:rsid w:val="00D849FD"/>
    <w:rsid w:val="00D84A6B"/>
    <w:rsid w:val="00D85639"/>
    <w:rsid w:val="00D86D3B"/>
    <w:rsid w:val="00D86DD4"/>
    <w:rsid w:val="00D86E44"/>
    <w:rsid w:val="00D86FDA"/>
    <w:rsid w:val="00D87176"/>
    <w:rsid w:val="00D873D6"/>
    <w:rsid w:val="00D87F88"/>
    <w:rsid w:val="00D903C2"/>
    <w:rsid w:val="00D90B5A"/>
    <w:rsid w:val="00D90DD1"/>
    <w:rsid w:val="00D91111"/>
    <w:rsid w:val="00D9187D"/>
    <w:rsid w:val="00D91F90"/>
    <w:rsid w:val="00D931CC"/>
    <w:rsid w:val="00D931E8"/>
    <w:rsid w:val="00D934E7"/>
    <w:rsid w:val="00D93677"/>
    <w:rsid w:val="00D93730"/>
    <w:rsid w:val="00D93925"/>
    <w:rsid w:val="00D93FEA"/>
    <w:rsid w:val="00D95C1F"/>
    <w:rsid w:val="00D9606E"/>
    <w:rsid w:val="00D963A9"/>
    <w:rsid w:val="00D96C30"/>
    <w:rsid w:val="00D96D7C"/>
    <w:rsid w:val="00D97419"/>
    <w:rsid w:val="00DA03BE"/>
    <w:rsid w:val="00DA08F5"/>
    <w:rsid w:val="00DA0C7A"/>
    <w:rsid w:val="00DA0DFD"/>
    <w:rsid w:val="00DA122C"/>
    <w:rsid w:val="00DA12C3"/>
    <w:rsid w:val="00DA1F84"/>
    <w:rsid w:val="00DA23D6"/>
    <w:rsid w:val="00DA26C8"/>
    <w:rsid w:val="00DA296B"/>
    <w:rsid w:val="00DA2B8A"/>
    <w:rsid w:val="00DA2D99"/>
    <w:rsid w:val="00DA2EDD"/>
    <w:rsid w:val="00DA32DA"/>
    <w:rsid w:val="00DA331A"/>
    <w:rsid w:val="00DA426F"/>
    <w:rsid w:val="00DA508D"/>
    <w:rsid w:val="00DA5317"/>
    <w:rsid w:val="00DA547C"/>
    <w:rsid w:val="00DA54AA"/>
    <w:rsid w:val="00DA5A78"/>
    <w:rsid w:val="00DA5E8E"/>
    <w:rsid w:val="00DA5F4E"/>
    <w:rsid w:val="00DA720D"/>
    <w:rsid w:val="00DA740C"/>
    <w:rsid w:val="00DA78B5"/>
    <w:rsid w:val="00DB04FB"/>
    <w:rsid w:val="00DB07AC"/>
    <w:rsid w:val="00DB0859"/>
    <w:rsid w:val="00DB085D"/>
    <w:rsid w:val="00DB0A70"/>
    <w:rsid w:val="00DB0C30"/>
    <w:rsid w:val="00DB116B"/>
    <w:rsid w:val="00DB122F"/>
    <w:rsid w:val="00DB140E"/>
    <w:rsid w:val="00DB1D46"/>
    <w:rsid w:val="00DB22F1"/>
    <w:rsid w:val="00DB262D"/>
    <w:rsid w:val="00DB2936"/>
    <w:rsid w:val="00DB344C"/>
    <w:rsid w:val="00DB3578"/>
    <w:rsid w:val="00DB3ECA"/>
    <w:rsid w:val="00DB4BA5"/>
    <w:rsid w:val="00DB4F3F"/>
    <w:rsid w:val="00DB59F5"/>
    <w:rsid w:val="00DB5DA7"/>
    <w:rsid w:val="00DB5E59"/>
    <w:rsid w:val="00DB6319"/>
    <w:rsid w:val="00DB6B8F"/>
    <w:rsid w:val="00DB6E4E"/>
    <w:rsid w:val="00DB7BE8"/>
    <w:rsid w:val="00DB7CB3"/>
    <w:rsid w:val="00DB7E4E"/>
    <w:rsid w:val="00DC1036"/>
    <w:rsid w:val="00DC1347"/>
    <w:rsid w:val="00DC1683"/>
    <w:rsid w:val="00DC1A80"/>
    <w:rsid w:val="00DC2782"/>
    <w:rsid w:val="00DC2A15"/>
    <w:rsid w:val="00DC2DEA"/>
    <w:rsid w:val="00DC327E"/>
    <w:rsid w:val="00DC34D0"/>
    <w:rsid w:val="00DC391D"/>
    <w:rsid w:val="00DC3C3E"/>
    <w:rsid w:val="00DC3D78"/>
    <w:rsid w:val="00DC4967"/>
    <w:rsid w:val="00DC5034"/>
    <w:rsid w:val="00DC53C6"/>
    <w:rsid w:val="00DC5EE4"/>
    <w:rsid w:val="00DC6502"/>
    <w:rsid w:val="00DC6526"/>
    <w:rsid w:val="00DC694D"/>
    <w:rsid w:val="00DC6F4A"/>
    <w:rsid w:val="00DC70A4"/>
    <w:rsid w:val="00DC71BB"/>
    <w:rsid w:val="00DC795B"/>
    <w:rsid w:val="00DC7DDD"/>
    <w:rsid w:val="00DC7FE3"/>
    <w:rsid w:val="00DD02A2"/>
    <w:rsid w:val="00DD041A"/>
    <w:rsid w:val="00DD1EB8"/>
    <w:rsid w:val="00DD2350"/>
    <w:rsid w:val="00DD2400"/>
    <w:rsid w:val="00DD29B2"/>
    <w:rsid w:val="00DD2AA4"/>
    <w:rsid w:val="00DD2BC9"/>
    <w:rsid w:val="00DD313A"/>
    <w:rsid w:val="00DD34AC"/>
    <w:rsid w:val="00DD39E6"/>
    <w:rsid w:val="00DD4BBD"/>
    <w:rsid w:val="00DD596D"/>
    <w:rsid w:val="00DD598F"/>
    <w:rsid w:val="00DD5A7B"/>
    <w:rsid w:val="00DD5F84"/>
    <w:rsid w:val="00DD60ED"/>
    <w:rsid w:val="00DD67B9"/>
    <w:rsid w:val="00DD725B"/>
    <w:rsid w:val="00DD7EFE"/>
    <w:rsid w:val="00DE02D0"/>
    <w:rsid w:val="00DE1361"/>
    <w:rsid w:val="00DE1457"/>
    <w:rsid w:val="00DE2A61"/>
    <w:rsid w:val="00DE2BD1"/>
    <w:rsid w:val="00DE3590"/>
    <w:rsid w:val="00DE3AD2"/>
    <w:rsid w:val="00DE3DF3"/>
    <w:rsid w:val="00DE456D"/>
    <w:rsid w:val="00DE4EA1"/>
    <w:rsid w:val="00DE5528"/>
    <w:rsid w:val="00DE5F90"/>
    <w:rsid w:val="00DE637D"/>
    <w:rsid w:val="00DE6EB6"/>
    <w:rsid w:val="00DE7839"/>
    <w:rsid w:val="00DE784B"/>
    <w:rsid w:val="00DF02C4"/>
    <w:rsid w:val="00DF0315"/>
    <w:rsid w:val="00DF13EA"/>
    <w:rsid w:val="00DF145D"/>
    <w:rsid w:val="00DF1A9E"/>
    <w:rsid w:val="00DF2D08"/>
    <w:rsid w:val="00DF39B0"/>
    <w:rsid w:val="00DF3B81"/>
    <w:rsid w:val="00DF3C9A"/>
    <w:rsid w:val="00DF49F3"/>
    <w:rsid w:val="00DF4AB8"/>
    <w:rsid w:val="00DF4BA5"/>
    <w:rsid w:val="00DF4D83"/>
    <w:rsid w:val="00DF4F1A"/>
    <w:rsid w:val="00DF5AA6"/>
    <w:rsid w:val="00DF5D01"/>
    <w:rsid w:val="00DF5FDA"/>
    <w:rsid w:val="00DF6200"/>
    <w:rsid w:val="00DF68EE"/>
    <w:rsid w:val="00DF6F6B"/>
    <w:rsid w:val="00DF7354"/>
    <w:rsid w:val="00DF751D"/>
    <w:rsid w:val="00E005A8"/>
    <w:rsid w:val="00E00B4C"/>
    <w:rsid w:val="00E00BB4"/>
    <w:rsid w:val="00E00BC5"/>
    <w:rsid w:val="00E019C9"/>
    <w:rsid w:val="00E03030"/>
    <w:rsid w:val="00E03F7A"/>
    <w:rsid w:val="00E042AE"/>
    <w:rsid w:val="00E0474B"/>
    <w:rsid w:val="00E049E7"/>
    <w:rsid w:val="00E04E2B"/>
    <w:rsid w:val="00E0561C"/>
    <w:rsid w:val="00E0561F"/>
    <w:rsid w:val="00E05D37"/>
    <w:rsid w:val="00E060AF"/>
    <w:rsid w:val="00E06660"/>
    <w:rsid w:val="00E101DF"/>
    <w:rsid w:val="00E10472"/>
    <w:rsid w:val="00E104BD"/>
    <w:rsid w:val="00E10719"/>
    <w:rsid w:val="00E11355"/>
    <w:rsid w:val="00E12903"/>
    <w:rsid w:val="00E1357A"/>
    <w:rsid w:val="00E136D5"/>
    <w:rsid w:val="00E1380D"/>
    <w:rsid w:val="00E14A89"/>
    <w:rsid w:val="00E14D3D"/>
    <w:rsid w:val="00E158D3"/>
    <w:rsid w:val="00E158DC"/>
    <w:rsid w:val="00E15962"/>
    <w:rsid w:val="00E15E5E"/>
    <w:rsid w:val="00E16134"/>
    <w:rsid w:val="00E16B4A"/>
    <w:rsid w:val="00E16D74"/>
    <w:rsid w:val="00E17D75"/>
    <w:rsid w:val="00E2015C"/>
    <w:rsid w:val="00E20BFF"/>
    <w:rsid w:val="00E20D84"/>
    <w:rsid w:val="00E210A0"/>
    <w:rsid w:val="00E22207"/>
    <w:rsid w:val="00E22240"/>
    <w:rsid w:val="00E22525"/>
    <w:rsid w:val="00E22C88"/>
    <w:rsid w:val="00E22D7D"/>
    <w:rsid w:val="00E23F9A"/>
    <w:rsid w:val="00E2443F"/>
    <w:rsid w:val="00E249A1"/>
    <w:rsid w:val="00E24AFA"/>
    <w:rsid w:val="00E24D62"/>
    <w:rsid w:val="00E2570C"/>
    <w:rsid w:val="00E25E41"/>
    <w:rsid w:val="00E262B7"/>
    <w:rsid w:val="00E26373"/>
    <w:rsid w:val="00E26407"/>
    <w:rsid w:val="00E26525"/>
    <w:rsid w:val="00E266A0"/>
    <w:rsid w:val="00E26862"/>
    <w:rsid w:val="00E27B7C"/>
    <w:rsid w:val="00E27CE0"/>
    <w:rsid w:val="00E3034F"/>
    <w:rsid w:val="00E30E06"/>
    <w:rsid w:val="00E30E30"/>
    <w:rsid w:val="00E30E9B"/>
    <w:rsid w:val="00E30FE1"/>
    <w:rsid w:val="00E31373"/>
    <w:rsid w:val="00E31745"/>
    <w:rsid w:val="00E31D4F"/>
    <w:rsid w:val="00E32064"/>
    <w:rsid w:val="00E32C10"/>
    <w:rsid w:val="00E32CF1"/>
    <w:rsid w:val="00E32E82"/>
    <w:rsid w:val="00E332E2"/>
    <w:rsid w:val="00E33385"/>
    <w:rsid w:val="00E33492"/>
    <w:rsid w:val="00E341B1"/>
    <w:rsid w:val="00E342BB"/>
    <w:rsid w:val="00E343CA"/>
    <w:rsid w:val="00E3480B"/>
    <w:rsid w:val="00E34810"/>
    <w:rsid w:val="00E35584"/>
    <w:rsid w:val="00E35705"/>
    <w:rsid w:val="00E35821"/>
    <w:rsid w:val="00E35A97"/>
    <w:rsid w:val="00E35AC1"/>
    <w:rsid w:val="00E35C1B"/>
    <w:rsid w:val="00E35C4F"/>
    <w:rsid w:val="00E368EE"/>
    <w:rsid w:val="00E36F94"/>
    <w:rsid w:val="00E374A9"/>
    <w:rsid w:val="00E37557"/>
    <w:rsid w:val="00E3769E"/>
    <w:rsid w:val="00E3793E"/>
    <w:rsid w:val="00E37D98"/>
    <w:rsid w:val="00E40994"/>
    <w:rsid w:val="00E410D9"/>
    <w:rsid w:val="00E41A36"/>
    <w:rsid w:val="00E41A64"/>
    <w:rsid w:val="00E42286"/>
    <w:rsid w:val="00E4237C"/>
    <w:rsid w:val="00E4278C"/>
    <w:rsid w:val="00E42D7B"/>
    <w:rsid w:val="00E43103"/>
    <w:rsid w:val="00E4340D"/>
    <w:rsid w:val="00E43671"/>
    <w:rsid w:val="00E43BB4"/>
    <w:rsid w:val="00E44385"/>
    <w:rsid w:val="00E44A3D"/>
    <w:rsid w:val="00E45354"/>
    <w:rsid w:val="00E45B70"/>
    <w:rsid w:val="00E462C4"/>
    <w:rsid w:val="00E46397"/>
    <w:rsid w:val="00E463D7"/>
    <w:rsid w:val="00E46695"/>
    <w:rsid w:val="00E46C94"/>
    <w:rsid w:val="00E4733E"/>
    <w:rsid w:val="00E52063"/>
    <w:rsid w:val="00E5230D"/>
    <w:rsid w:val="00E52411"/>
    <w:rsid w:val="00E528A2"/>
    <w:rsid w:val="00E52A06"/>
    <w:rsid w:val="00E52E2E"/>
    <w:rsid w:val="00E53801"/>
    <w:rsid w:val="00E53C21"/>
    <w:rsid w:val="00E53F54"/>
    <w:rsid w:val="00E540B8"/>
    <w:rsid w:val="00E54FDD"/>
    <w:rsid w:val="00E55C69"/>
    <w:rsid w:val="00E56365"/>
    <w:rsid w:val="00E56396"/>
    <w:rsid w:val="00E5706F"/>
    <w:rsid w:val="00E57537"/>
    <w:rsid w:val="00E5764B"/>
    <w:rsid w:val="00E57930"/>
    <w:rsid w:val="00E600B3"/>
    <w:rsid w:val="00E6033A"/>
    <w:rsid w:val="00E604FF"/>
    <w:rsid w:val="00E6083A"/>
    <w:rsid w:val="00E61471"/>
    <w:rsid w:val="00E61651"/>
    <w:rsid w:val="00E62184"/>
    <w:rsid w:val="00E62D07"/>
    <w:rsid w:val="00E634CB"/>
    <w:rsid w:val="00E637C7"/>
    <w:rsid w:val="00E638B5"/>
    <w:rsid w:val="00E64F2E"/>
    <w:rsid w:val="00E651FE"/>
    <w:rsid w:val="00E65555"/>
    <w:rsid w:val="00E65636"/>
    <w:rsid w:val="00E65BD2"/>
    <w:rsid w:val="00E65E1E"/>
    <w:rsid w:val="00E66448"/>
    <w:rsid w:val="00E66B34"/>
    <w:rsid w:val="00E6705E"/>
    <w:rsid w:val="00E71465"/>
    <w:rsid w:val="00E715B4"/>
    <w:rsid w:val="00E721CE"/>
    <w:rsid w:val="00E7227A"/>
    <w:rsid w:val="00E72296"/>
    <w:rsid w:val="00E722CA"/>
    <w:rsid w:val="00E72658"/>
    <w:rsid w:val="00E735F2"/>
    <w:rsid w:val="00E73B64"/>
    <w:rsid w:val="00E73D68"/>
    <w:rsid w:val="00E74661"/>
    <w:rsid w:val="00E7506D"/>
    <w:rsid w:val="00E77054"/>
    <w:rsid w:val="00E77471"/>
    <w:rsid w:val="00E80534"/>
    <w:rsid w:val="00E80FBC"/>
    <w:rsid w:val="00E8171B"/>
    <w:rsid w:val="00E81D6D"/>
    <w:rsid w:val="00E82417"/>
    <w:rsid w:val="00E82A13"/>
    <w:rsid w:val="00E82D84"/>
    <w:rsid w:val="00E82F95"/>
    <w:rsid w:val="00E83016"/>
    <w:rsid w:val="00E8361B"/>
    <w:rsid w:val="00E83E8F"/>
    <w:rsid w:val="00E83F4F"/>
    <w:rsid w:val="00E841A6"/>
    <w:rsid w:val="00E844A8"/>
    <w:rsid w:val="00E848F1"/>
    <w:rsid w:val="00E84D25"/>
    <w:rsid w:val="00E85395"/>
    <w:rsid w:val="00E85577"/>
    <w:rsid w:val="00E8595E"/>
    <w:rsid w:val="00E85DAD"/>
    <w:rsid w:val="00E86D00"/>
    <w:rsid w:val="00E871CC"/>
    <w:rsid w:val="00E875ED"/>
    <w:rsid w:val="00E8764E"/>
    <w:rsid w:val="00E87682"/>
    <w:rsid w:val="00E87DB2"/>
    <w:rsid w:val="00E87F40"/>
    <w:rsid w:val="00E9074A"/>
    <w:rsid w:val="00E90C2D"/>
    <w:rsid w:val="00E90DE1"/>
    <w:rsid w:val="00E90FDB"/>
    <w:rsid w:val="00E9134F"/>
    <w:rsid w:val="00E91599"/>
    <w:rsid w:val="00E91845"/>
    <w:rsid w:val="00E91AF1"/>
    <w:rsid w:val="00E91F65"/>
    <w:rsid w:val="00E93E7A"/>
    <w:rsid w:val="00E93FB3"/>
    <w:rsid w:val="00E94E37"/>
    <w:rsid w:val="00E94FC9"/>
    <w:rsid w:val="00E95985"/>
    <w:rsid w:val="00E967D0"/>
    <w:rsid w:val="00E97562"/>
    <w:rsid w:val="00E97B95"/>
    <w:rsid w:val="00E97D01"/>
    <w:rsid w:val="00E97EBE"/>
    <w:rsid w:val="00EA0611"/>
    <w:rsid w:val="00EA0B20"/>
    <w:rsid w:val="00EA0EB6"/>
    <w:rsid w:val="00EA1172"/>
    <w:rsid w:val="00EA1BE6"/>
    <w:rsid w:val="00EA335F"/>
    <w:rsid w:val="00EA38F5"/>
    <w:rsid w:val="00EA4217"/>
    <w:rsid w:val="00EA44A1"/>
    <w:rsid w:val="00EA536A"/>
    <w:rsid w:val="00EA5535"/>
    <w:rsid w:val="00EA70BE"/>
    <w:rsid w:val="00EA7351"/>
    <w:rsid w:val="00EA7728"/>
    <w:rsid w:val="00EA7D5D"/>
    <w:rsid w:val="00EA7D7E"/>
    <w:rsid w:val="00EB0554"/>
    <w:rsid w:val="00EB070D"/>
    <w:rsid w:val="00EB0C59"/>
    <w:rsid w:val="00EB1886"/>
    <w:rsid w:val="00EB2208"/>
    <w:rsid w:val="00EB2305"/>
    <w:rsid w:val="00EB24E2"/>
    <w:rsid w:val="00EB333D"/>
    <w:rsid w:val="00EB33EC"/>
    <w:rsid w:val="00EB36DB"/>
    <w:rsid w:val="00EB39B9"/>
    <w:rsid w:val="00EB3BAE"/>
    <w:rsid w:val="00EB42A1"/>
    <w:rsid w:val="00EB4F65"/>
    <w:rsid w:val="00EB599C"/>
    <w:rsid w:val="00EB6C58"/>
    <w:rsid w:val="00EB705A"/>
    <w:rsid w:val="00EB79A1"/>
    <w:rsid w:val="00EB7B34"/>
    <w:rsid w:val="00EC08AB"/>
    <w:rsid w:val="00EC10D7"/>
    <w:rsid w:val="00EC12FC"/>
    <w:rsid w:val="00EC15D8"/>
    <w:rsid w:val="00EC1BED"/>
    <w:rsid w:val="00EC1D73"/>
    <w:rsid w:val="00EC2029"/>
    <w:rsid w:val="00EC208E"/>
    <w:rsid w:val="00EC2518"/>
    <w:rsid w:val="00EC2684"/>
    <w:rsid w:val="00EC2BD8"/>
    <w:rsid w:val="00EC2D14"/>
    <w:rsid w:val="00EC2D7C"/>
    <w:rsid w:val="00EC2EB7"/>
    <w:rsid w:val="00EC37F3"/>
    <w:rsid w:val="00EC389D"/>
    <w:rsid w:val="00EC39C3"/>
    <w:rsid w:val="00EC417A"/>
    <w:rsid w:val="00EC4302"/>
    <w:rsid w:val="00EC47B2"/>
    <w:rsid w:val="00EC48CD"/>
    <w:rsid w:val="00EC5008"/>
    <w:rsid w:val="00EC534C"/>
    <w:rsid w:val="00EC5660"/>
    <w:rsid w:val="00EC590C"/>
    <w:rsid w:val="00EC6639"/>
    <w:rsid w:val="00EC7010"/>
    <w:rsid w:val="00EC7599"/>
    <w:rsid w:val="00EC7ABB"/>
    <w:rsid w:val="00EC7B48"/>
    <w:rsid w:val="00ED0000"/>
    <w:rsid w:val="00ED0960"/>
    <w:rsid w:val="00ED17C0"/>
    <w:rsid w:val="00ED1D6A"/>
    <w:rsid w:val="00ED1EA4"/>
    <w:rsid w:val="00ED21DC"/>
    <w:rsid w:val="00ED2592"/>
    <w:rsid w:val="00ED2906"/>
    <w:rsid w:val="00ED29CE"/>
    <w:rsid w:val="00ED2D29"/>
    <w:rsid w:val="00ED3405"/>
    <w:rsid w:val="00ED3BF5"/>
    <w:rsid w:val="00ED3C97"/>
    <w:rsid w:val="00ED3CAF"/>
    <w:rsid w:val="00ED471E"/>
    <w:rsid w:val="00ED4E01"/>
    <w:rsid w:val="00ED55F6"/>
    <w:rsid w:val="00ED6540"/>
    <w:rsid w:val="00ED7E36"/>
    <w:rsid w:val="00EE172C"/>
    <w:rsid w:val="00EE1D27"/>
    <w:rsid w:val="00EE228F"/>
    <w:rsid w:val="00EE28F4"/>
    <w:rsid w:val="00EE2A98"/>
    <w:rsid w:val="00EE2E5C"/>
    <w:rsid w:val="00EE32EB"/>
    <w:rsid w:val="00EE3473"/>
    <w:rsid w:val="00EE39A1"/>
    <w:rsid w:val="00EE3A2C"/>
    <w:rsid w:val="00EE3ACB"/>
    <w:rsid w:val="00EE3D2B"/>
    <w:rsid w:val="00EE4D51"/>
    <w:rsid w:val="00EE50A8"/>
    <w:rsid w:val="00EE53D5"/>
    <w:rsid w:val="00EE58F8"/>
    <w:rsid w:val="00EE5C89"/>
    <w:rsid w:val="00EE614D"/>
    <w:rsid w:val="00EE62F3"/>
    <w:rsid w:val="00EE6AC7"/>
    <w:rsid w:val="00EE7352"/>
    <w:rsid w:val="00EE7D7E"/>
    <w:rsid w:val="00EE7FD6"/>
    <w:rsid w:val="00EF01C6"/>
    <w:rsid w:val="00EF1D21"/>
    <w:rsid w:val="00EF21BF"/>
    <w:rsid w:val="00EF2613"/>
    <w:rsid w:val="00EF2A4A"/>
    <w:rsid w:val="00EF2C2B"/>
    <w:rsid w:val="00EF2C85"/>
    <w:rsid w:val="00EF36FF"/>
    <w:rsid w:val="00EF3A3E"/>
    <w:rsid w:val="00EF3BA2"/>
    <w:rsid w:val="00EF3F08"/>
    <w:rsid w:val="00EF3F52"/>
    <w:rsid w:val="00EF48AC"/>
    <w:rsid w:val="00EF4F77"/>
    <w:rsid w:val="00EF52E4"/>
    <w:rsid w:val="00EF53FB"/>
    <w:rsid w:val="00EF54EB"/>
    <w:rsid w:val="00EF5ABE"/>
    <w:rsid w:val="00EF6566"/>
    <w:rsid w:val="00EF66FB"/>
    <w:rsid w:val="00EF7158"/>
    <w:rsid w:val="00EF77A2"/>
    <w:rsid w:val="00F00148"/>
    <w:rsid w:val="00F00279"/>
    <w:rsid w:val="00F00305"/>
    <w:rsid w:val="00F007A2"/>
    <w:rsid w:val="00F008F6"/>
    <w:rsid w:val="00F00A34"/>
    <w:rsid w:val="00F0127C"/>
    <w:rsid w:val="00F01416"/>
    <w:rsid w:val="00F014CB"/>
    <w:rsid w:val="00F01877"/>
    <w:rsid w:val="00F01A42"/>
    <w:rsid w:val="00F01ADA"/>
    <w:rsid w:val="00F01C93"/>
    <w:rsid w:val="00F0279F"/>
    <w:rsid w:val="00F02B44"/>
    <w:rsid w:val="00F02D5A"/>
    <w:rsid w:val="00F030D7"/>
    <w:rsid w:val="00F033DA"/>
    <w:rsid w:val="00F03475"/>
    <w:rsid w:val="00F0371E"/>
    <w:rsid w:val="00F038EF"/>
    <w:rsid w:val="00F03F93"/>
    <w:rsid w:val="00F04228"/>
    <w:rsid w:val="00F05139"/>
    <w:rsid w:val="00F05990"/>
    <w:rsid w:val="00F07B30"/>
    <w:rsid w:val="00F07CCD"/>
    <w:rsid w:val="00F07D5B"/>
    <w:rsid w:val="00F07DE6"/>
    <w:rsid w:val="00F10377"/>
    <w:rsid w:val="00F10741"/>
    <w:rsid w:val="00F11A0A"/>
    <w:rsid w:val="00F11C44"/>
    <w:rsid w:val="00F12BA4"/>
    <w:rsid w:val="00F12C09"/>
    <w:rsid w:val="00F13127"/>
    <w:rsid w:val="00F14136"/>
    <w:rsid w:val="00F144C9"/>
    <w:rsid w:val="00F14569"/>
    <w:rsid w:val="00F14661"/>
    <w:rsid w:val="00F14D00"/>
    <w:rsid w:val="00F14EE9"/>
    <w:rsid w:val="00F15095"/>
    <w:rsid w:val="00F154CD"/>
    <w:rsid w:val="00F16690"/>
    <w:rsid w:val="00F16AC5"/>
    <w:rsid w:val="00F1727D"/>
    <w:rsid w:val="00F17FE1"/>
    <w:rsid w:val="00F209A1"/>
    <w:rsid w:val="00F209FE"/>
    <w:rsid w:val="00F210BF"/>
    <w:rsid w:val="00F213DB"/>
    <w:rsid w:val="00F215CF"/>
    <w:rsid w:val="00F216AF"/>
    <w:rsid w:val="00F21CD1"/>
    <w:rsid w:val="00F22494"/>
    <w:rsid w:val="00F2272D"/>
    <w:rsid w:val="00F230BA"/>
    <w:rsid w:val="00F23D4F"/>
    <w:rsid w:val="00F25074"/>
    <w:rsid w:val="00F260EE"/>
    <w:rsid w:val="00F26198"/>
    <w:rsid w:val="00F26A44"/>
    <w:rsid w:val="00F26CB4"/>
    <w:rsid w:val="00F274F4"/>
    <w:rsid w:val="00F275C7"/>
    <w:rsid w:val="00F27966"/>
    <w:rsid w:val="00F27FCB"/>
    <w:rsid w:val="00F30B47"/>
    <w:rsid w:val="00F314F0"/>
    <w:rsid w:val="00F31A40"/>
    <w:rsid w:val="00F32763"/>
    <w:rsid w:val="00F32FD5"/>
    <w:rsid w:val="00F33586"/>
    <w:rsid w:val="00F33B8E"/>
    <w:rsid w:val="00F33BA1"/>
    <w:rsid w:val="00F33C59"/>
    <w:rsid w:val="00F3413B"/>
    <w:rsid w:val="00F3457B"/>
    <w:rsid w:val="00F3469C"/>
    <w:rsid w:val="00F3516B"/>
    <w:rsid w:val="00F35B9B"/>
    <w:rsid w:val="00F36343"/>
    <w:rsid w:val="00F36843"/>
    <w:rsid w:val="00F36D0F"/>
    <w:rsid w:val="00F372B5"/>
    <w:rsid w:val="00F40793"/>
    <w:rsid w:val="00F40B93"/>
    <w:rsid w:val="00F40CB4"/>
    <w:rsid w:val="00F40E6F"/>
    <w:rsid w:val="00F40F69"/>
    <w:rsid w:val="00F417D4"/>
    <w:rsid w:val="00F4183E"/>
    <w:rsid w:val="00F42787"/>
    <w:rsid w:val="00F42895"/>
    <w:rsid w:val="00F42D29"/>
    <w:rsid w:val="00F43154"/>
    <w:rsid w:val="00F43790"/>
    <w:rsid w:val="00F43CC1"/>
    <w:rsid w:val="00F44680"/>
    <w:rsid w:val="00F456EF"/>
    <w:rsid w:val="00F45AE6"/>
    <w:rsid w:val="00F45C80"/>
    <w:rsid w:val="00F46106"/>
    <w:rsid w:val="00F4644C"/>
    <w:rsid w:val="00F47579"/>
    <w:rsid w:val="00F47628"/>
    <w:rsid w:val="00F477BF"/>
    <w:rsid w:val="00F47DBC"/>
    <w:rsid w:val="00F5015D"/>
    <w:rsid w:val="00F52738"/>
    <w:rsid w:val="00F54092"/>
    <w:rsid w:val="00F54C56"/>
    <w:rsid w:val="00F54CA9"/>
    <w:rsid w:val="00F55055"/>
    <w:rsid w:val="00F55B33"/>
    <w:rsid w:val="00F566A4"/>
    <w:rsid w:val="00F5750B"/>
    <w:rsid w:val="00F575B9"/>
    <w:rsid w:val="00F57BA4"/>
    <w:rsid w:val="00F6007A"/>
    <w:rsid w:val="00F603BC"/>
    <w:rsid w:val="00F60687"/>
    <w:rsid w:val="00F610AD"/>
    <w:rsid w:val="00F610CB"/>
    <w:rsid w:val="00F616E0"/>
    <w:rsid w:val="00F625C4"/>
    <w:rsid w:val="00F63139"/>
    <w:rsid w:val="00F63F69"/>
    <w:rsid w:val="00F642BD"/>
    <w:rsid w:val="00F6497D"/>
    <w:rsid w:val="00F6497E"/>
    <w:rsid w:val="00F65A5C"/>
    <w:rsid w:val="00F6679E"/>
    <w:rsid w:val="00F6681A"/>
    <w:rsid w:val="00F668EC"/>
    <w:rsid w:val="00F66C3E"/>
    <w:rsid w:val="00F67071"/>
    <w:rsid w:val="00F6780D"/>
    <w:rsid w:val="00F67B8D"/>
    <w:rsid w:val="00F67E73"/>
    <w:rsid w:val="00F702FB"/>
    <w:rsid w:val="00F708FD"/>
    <w:rsid w:val="00F70B09"/>
    <w:rsid w:val="00F71A97"/>
    <w:rsid w:val="00F71CD2"/>
    <w:rsid w:val="00F72BAE"/>
    <w:rsid w:val="00F72E42"/>
    <w:rsid w:val="00F7492D"/>
    <w:rsid w:val="00F767E6"/>
    <w:rsid w:val="00F76EB4"/>
    <w:rsid w:val="00F77329"/>
    <w:rsid w:val="00F77857"/>
    <w:rsid w:val="00F77BB9"/>
    <w:rsid w:val="00F77BF7"/>
    <w:rsid w:val="00F800F9"/>
    <w:rsid w:val="00F8044C"/>
    <w:rsid w:val="00F80D30"/>
    <w:rsid w:val="00F816C6"/>
    <w:rsid w:val="00F823BB"/>
    <w:rsid w:val="00F82E2D"/>
    <w:rsid w:val="00F83DA6"/>
    <w:rsid w:val="00F843E1"/>
    <w:rsid w:val="00F8475F"/>
    <w:rsid w:val="00F849B0"/>
    <w:rsid w:val="00F85A4F"/>
    <w:rsid w:val="00F85B1B"/>
    <w:rsid w:val="00F86091"/>
    <w:rsid w:val="00F8679D"/>
    <w:rsid w:val="00F87481"/>
    <w:rsid w:val="00F877CD"/>
    <w:rsid w:val="00F879DD"/>
    <w:rsid w:val="00F9007C"/>
    <w:rsid w:val="00F90084"/>
    <w:rsid w:val="00F91137"/>
    <w:rsid w:val="00F9173E"/>
    <w:rsid w:val="00F91A01"/>
    <w:rsid w:val="00F92213"/>
    <w:rsid w:val="00F929A6"/>
    <w:rsid w:val="00F92F90"/>
    <w:rsid w:val="00F9372F"/>
    <w:rsid w:val="00F93B04"/>
    <w:rsid w:val="00F93BA7"/>
    <w:rsid w:val="00F94665"/>
    <w:rsid w:val="00F947D5"/>
    <w:rsid w:val="00F94E77"/>
    <w:rsid w:val="00F94FF5"/>
    <w:rsid w:val="00F9587E"/>
    <w:rsid w:val="00F95A61"/>
    <w:rsid w:val="00F95BF1"/>
    <w:rsid w:val="00F960FE"/>
    <w:rsid w:val="00F9697B"/>
    <w:rsid w:val="00F96D3F"/>
    <w:rsid w:val="00F96F09"/>
    <w:rsid w:val="00F97112"/>
    <w:rsid w:val="00F971CA"/>
    <w:rsid w:val="00F97F57"/>
    <w:rsid w:val="00FA07B9"/>
    <w:rsid w:val="00FA1054"/>
    <w:rsid w:val="00FA13B7"/>
    <w:rsid w:val="00FA164C"/>
    <w:rsid w:val="00FA16B7"/>
    <w:rsid w:val="00FA1796"/>
    <w:rsid w:val="00FA1839"/>
    <w:rsid w:val="00FA26D0"/>
    <w:rsid w:val="00FA2A45"/>
    <w:rsid w:val="00FA2F3D"/>
    <w:rsid w:val="00FA354D"/>
    <w:rsid w:val="00FA3FD0"/>
    <w:rsid w:val="00FA400F"/>
    <w:rsid w:val="00FA4DEF"/>
    <w:rsid w:val="00FA4F49"/>
    <w:rsid w:val="00FA506B"/>
    <w:rsid w:val="00FA5147"/>
    <w:rsid w:val="00FA537A"/>
    <w:rsid w:val="00FA55DD"/>
    <w:rsid w:val="00FA5E17"/>
    <w:rsid w:val="00FA6B7E"/>
    <w:rsid w:val="00FA6DF0"/>
    <w:rsid w:val="00FA74FF"/>
    <w:rsid w:val="00FA77EC"/>
    <w:rsid w:val="00FA7B90"/>
    <w:rsid w:val="00FB001E"/>
    <w:rsid w:val="00FB022B"/>
    <w:rsid w:val="00FB0977"/>
    <w:rsid w:val="00FB0C0E"/>
    <w:rsid w:val="00FB1619"/>
    <w:rsid w:val="00FB2AA9"/>
    <w:rsid w:val="00FB2E2D"/>
    <w:rsid w:val="00FB42FE"/>
    <w:rsid w:val="00FB5239"/>
    <w:rsid w:val="00FB5435"/>
    <w:rsid w:val="00FB65D3"/>
    <w:rsid w:val="00FB6BA8"/>
    <w:rsid w:val="00FB6E3F"/>
    <w:rsid w:val="00FB7EC8"/>
    <w:rsid w:val="00FC02B1"/>
    <w:rsid w:val="00FC05F7"/>
    <w:rsid w:val="00FC1324"/>
    <w:rsid w:val="00FC15C1"/>
    <w:rsid w:val="00FC166B"/>
    <w:rsid w:val="00FC28F4"/>
    <w:rsid w:val="00FC2B3C"/>
    <w:rsid w:val="00FC2E3D"/>
    <w:rsid w:val="00FC2FC7"/>
    <w:rsid w:val="00FC3FE0"/>
    <w:rsid w:val="00FC477D"/>
    <w:rsid w:val="00FC5159"/>
    <w:rsid w:val="00FC5AEB"/>
    <w:rsid w:val="00FC6248"/>
    <w:rsid w:val="00FC777E"/>
    <w:rsid w:val="00FD025D"/>
    <w:rsid w:val="00FD0282"/>
    <w:rsid w:val="00FD041D"/>
    <w:rsid w:val="00FD063E"/>
    <w:rsid w:val="00FD1EE0"/>
    <w:rsid w:val="00FD243F"/>
    <w:rsid w:val="00FD33EC"/>
    <w:rsid w:val="00FD3576"/>
    <w:rsid w:val="00FD4285"/>
    <w:rsid w:val="00FD4B0D"/>
    <w:rsid w:val="00FD5C13"/>
    <w:rsid w:val="00FD6811"/>
    <w:rsid w:val="00FD6831"/>
    <w:rsid w:val="00FD6B6E"/>
    <w:rsid w:val="00FD7497"/>
    <w:rsid w:val="00FD77D5"/>
    <w:rsid w:val="00FD7B9B"/>
    <w:rsid w:val="00FD7C1A"/>
    <w:rsid w:val="00FD7EA2"/>
    <w:rsid w:val="00FE0792"/>
    <w:rsid w:val="00FE0AFF"/>
    <w:rsid w:val="00FE1175"/>
    <w:rsid w:val="00FE1C7C"/>
    <w:rsid w:val="00FE1DA7"/>
    <w:rsid w:val="00FE1EED"/>
    <w:rsid w:val="00FE266B"/>
    <w:rsid w:val="00FE322F"/>
    <w:rsid w:val="00FE391D"/>
    <w:rsid w:val="00FE44E4"/>
    <w:rsid w:val="00FE4D4A"/>
    <w:rsid w:val="00FE4E2E"/>
    <w:rsid w:val="00FE4F67"/>
    <w:rsid w:val="00FE5360"/>
    <w:rsid w:val="00FE6143"/>
    <w:rsid w:val="00FE657D"/>
    <w:rsid w:val="00FE67F9"/>
    <w:rsid w:val="00FE6802"/>
    <w:rsid w:val="00FE7100"/>
    <w:rsid w:val="00FE7518"/>
    <w:rsid w:val="00FE754A"/>
    <w:rsid w:val="00FE7CB0"/>
    <w:rsid w:val="00FF03AB"/>
    <w:rsid w:val="00FF046B"/>
    <w:rsid w:val="00FF0745"/>
    <w:rsid w:val="00FF09C7"/>
    <w:rsid w:val="00FF0D91"/>
    <w:rsid w:val="00FF13CC"/>
    <w:rsid w:val="00FF13E8"/>
    <w:rsid w:val="00FF2382"/>
    <w:rsid w:val="00FF30BC"/>
    <w:rsid w:val="00FF36E6"/>
    <w:rsid w:val="00FF37D8"/>
    <w:rsid w:val="00FF3E8E"/>
    <w:rsid w:val="00FF58D7"/>
    <w:rsid w:val="00FF5942"/>
    <w:rsid w:val="00FF5976"/>
    <w:rsid w:val="00FF5BA0"/>
    <w:rsid w:val="00FF604C"/>
    <w:rsid w:val="00FF6B9D"/>
    <w:rsid w:val="00FF71B1"/>
    <w:rsid w:val="00FF72FF"/>
    <w:rsid w:val="00FF7A28"/>
    <w:rsid w:val="00FF7FB4"/>
    <w:rsid w:val="010B405F"/>
    <w:rsid w:val="010C5220"/>
    <w:rsid w:val="01846853"/>
    <w:rsid w:val="01A43114"/>
    <w:rsid w:val="01CA66FC"/>
    <w:rsid w:val="01E3295D"/>
    <w:rsid w:val="020734BD"/>
    <w:rsid w:val="021120DD"/>
    <w:rsid w:val="028B270E"/>
    <w:rsid w:val="02A91D81"/>
    <w:rsid w:val="02DB05BD"/>
    <w:rsid w:val="02E14B74"/>
    <w:rsid w:val="02EA4873"/>
    <w:rsid w:val="02F0175E"/>
    <w:rsid w:val="02F94AB6"/>
    <w:rsid w:val="03323B24"/>
    <w:rsid w:val="03430831"/>
    <w:rsid w:val="034F2928"/>
    <w:rsid w:val="03832248"/>
    <w:rsid w:val="0397607D"/>
    <w:rsid w:val="03A34A22"/>
    <w:rsid w:val="03A9336D"/>
    <w:rsid w:val="046C12B8"/>
    <w:rsid w:val="049D5915"/>
    <w:rsid w:val="04D255BF"/>
    <w:rsid w:val="04EB6681"/>
    <w:rsid w:val="05B42F17"/>
    <w:rsid w:val="05B95763"/>
    <w:rsid w:val="05BE78F1"/>
    <w:rsid w:val="05C23451"/>
    <w:rsid w:val="05C61D89"/>
    <w:rsid w:val="06495E5F"/>
    <w:rsid w:val="06B67C67"/>
    <w:rsid w:val="06CB553A"/>
    <w:rsid w:val="06F7130D"/>
    <w:rsid w:val="07604366"/>
    <w:rsid w:val="07B92A66"/>
    <w:rsid w:val="07C733D5"/>
    <w:rsid w:val="080C703A"/>
    <w:rsid w:val="08AE00F1"/>
    <w:rsid w:val="08CC4A1B"/>
    <w:rsid w:val="09166C1B"/>
    <w:rsid w:val="09464A8E"/>
    <w:rsid w:val="09811362"/>
    <w:rsid w:val="09CA0F5B"/>
    <w:rsid w:val="09D65B51"/>
    <w:rsid w:val="09EF451D"/>
    <w:rsid w:val="0A99092D"/>
    <w:rsid w:val="0ADF51C5"/>
    <w:rsid w:val="0B09160F"/>
    <w:rsid w:val="0B0F7ADA"/>
    <w:rsid w:val="0B6D6042"/>
    <w:rsid w:val="0BCC4C29"/>
    <w:rsid w:val="0BD24ECB"/>
    <w:rsid w:val="0C7B48C5"/>
    <w:rsid w:val="0CEA5470"/>
    <w:rsid w:val="0D336E17"/>
    <w:rsid w:val="0D520C41"/>
    <w:rsid w:val="0D9378B6"/>
    <w:rsid w:val="0DA4028D"/>
    <w:rsid w:val="0DB276CD"/>
    <w:rsid w:val="0DF177D2"/>
    <w:rsid w:val="0E372937"/>
    <w:rsid w:val="0E6324CC"/>
    <w:rsid w:val="0EE228A3"/>
    <w:rsid w:val="0F091448"/>
    <w:rsid w:val="0F9F2542"/>
    <w:rsid w:val="0FF20B75"/>
    <w:rsid w:val="0FFC5BE6"/>
    <w:rsid w:val="10063B4A"/>
    <w:rsid w:val="10563548"/>
    <w:rsid w:val="106C2D6C"/>
    <w:rsid w:val="108A31F2"/>
    <w:rsid w:val="10E3110E"/>
    <w:rsid w:val="10EF1256"/>
    <w:rsid w:val="110C2FB3"/>
    <w:rsid w:val="113114B2"/>
    <w:rsid w:val="114F7F97"/>
    <w:rsid w:val="115A7068"/>
    <w:rsid w:val="11877731"/>
    <w:rsid w:val="12661A3D"/>
    <w:rsid w:val="12F969A7"/>
    <w:rsid w:val="135B0E75"/>
    <w:rsid w:val="135D186A"/>
    <w:rsid w:val="13734411"/>
    <w:rsid w:val="13743CE5"/>
    <w:rsid w:val="138200E1"/>
    <w:rsid w:val="138C102F"/>
    <w:rsid w:val="13924F90"/>
    <w:rsid w:val="13D65803"/>
    <w:rsid w:val="13EB044B"/>
    <w:rsid w:val="1424395D"/>
    <w:rsid w:val="147A532B"/>
    <w:rsid w:val="14D24E98"/>
    <w:rsid w:val="14F014EB"/>
    <w:rsid w:val="14FC397F"/>
    <w:rsid w:val="15001CD4"/>
    <w:rsid w:val="153D632C"/>
    <w:rsid w:val="154000B8"/>
    <w:rsid w:val="15B8435D"/>
    <w:rsid w:val="15D62A35"/>
    <w:rsid w:val="15E213DA"/>
    <w:rsid w:val="160752E5"/>
    <w:rsid w:val="163C3060"/>
    <w:rsid w:val="16895CFA"/>
    <w:rsid w:val="16966A30"/>
    <w:rsid w:val="16EA1D6E"/>
    <w:rsid w:val="16F2375C"/>
    <w:rsid w:val="17033CFE"/>
    <w:rsid w:val="17147CB9"/>
    <w:rsid w:val="176D509D"/>
    <w:rsid w:val="17AC6222"/>
    <w:rsid w:val="17F23E00"/>
    <w:rsid w:val="18181DEA"/>
    <w:rsid w:val="182F467F"/>
    <w:rsid w:val="18383533"/>
    <w:rsid w:val="183B138A"/>
    <w:rsid w:val="18616F2E"/>
    <w:rsid w:val="186B56B7"/>
    <w:rsid w:val="187D0FAD"/>
    <w:rsid w:val="18A55E23"/>
    <w:rsid w:val="18BC5F12"/>
    <w:rsid w:val="190201C4"/>
    <w:rsid w:val="19754573"/>
    <w:rsid w:val="19832ED4"/>
    <w:rsid w:val="1991739F"/>
    <w:rsid w:val="19C5529B"/>
    <w:rsid w:val="1A116732"/>
    <w:rsid w:val="1A1467FB"/>
    <w:rsid w:val="1AA43102"/>
    <w:rsid w:val="1AAE3F81"/>
    <w:rsid w:val="1ACC4D45"/>
    <w:rsid w:val="1AE14356"/>
    <w:rsid w:val="1AFC1190"/>
    <w:rsid w:val="1C1E0C92"/>
    <w:rsid w:val="1C6A1E12"/>
    <w:rsid w:val="1C7C2637"/>
    <w:rsid w:val="1CC22665"/>
    <w:rsid w:val="1D1C1676"/>
    <w:rsid w:val="1DC55869"/>
    <w:rsid w:val="1DDC0E05"/>
    <w:rsid w:val="1DFC5003"/>
    <w:rsid w:val="1E0A3BC4"/>
    <w:rsid w:val="1E3649B9"/>
    <w:rsid w:val="1E403CA3"/>
    <w:rsid w:val="1E6C2189"/>
    <w:rsid w:val="1E92336C"/>
    <w:rsid w:val="1E9B2A6E"/>
    <w:rsid w:val="1EC935A6"/>
    <w:rsid w:val="1F026787"/>
    <w:rsid w:val="1F242A63"/>
    <w:rsid w:val="1F423E77"/>
    <w:rsid w:val="1F5F1CED"/>
    <w:rsid w:val="1F8654CC"/>
    <w:rsid w:val="1FD803FC"/>
    <w:rsid w:val="1FE10954"/>
    <w:rsid w:val="203E6E7F"/>
    <w:rsid w:val="205B1D1D"/>
    <w:rsid w:val="209459C7"/>
    <w:rsid w:val="20D00054"/>
    <w:rsid w:val="20FC3C98"/>
    <w:rsid w:val="20FC434B"/>
    <w:rsid w:val="21095929"/>
    <w:rsid w:val="21352D06"/>
    <w:rsid w:val="214747E7"/>
    <w:rsid w:val="21A6088D"/>
    <w:rsid w:val="22873A35"/>
    <w:rsid w:val="228A0E2F"/>
    <w:rsid w:val="229A7510"/>
    <w:rsid w:val="22B81E40"/>
    <w:rsid w:val="22D327D6"/>
    <w:rsid w:val="22F95FB5"/>
    <w:rsid w:val="23046E34"/>
    <w:rsid w:val="2311714F"/>
    <w:rsid w:val="236B6DD9"/>
    <w:rsid w:val="2392443F"/>
    <w:rsid w:val="23963804"/>
    <w:rsid w:val="239857CE"/>
    <w:rsid w:val="23C12F77"/>
    <w:rsid w:val="24286118"/>
    <w:rsid w:val="244F0582"/>
    <w:rsid w:val="246524ED"/>
    <w:rsid w:val="24AD6167"/>
    <w:rsid w:val="24B403E6"/>
    <w:rsid w:val="25140E84"/>
    <w:rsid w:val="25502590"/>
    <w:rsid w:val="25F0544D"/>
    <w:rsid w:val="26094761"/>
    <w:rsid w:val="26162427"/>
    <w:rsid w:val="261C4494"/>
    <w:rsid w:val="266A264B"/>
    <w:rsid w:val="26E13620"/>
    <w:rsid w:val="26E61B43"/>
    <w:rsid w:val="277A3B68"/>
    <w:rsid w:val="278E4F1E"/>
    <w:rsid w:val="27BA21B7"/>
    <w:rsid w:val="2818512F"/>
    <w:rsid w:val="288D78CB"/>
    <w:rsid w:val="28C826B1"/>
    <w:rsid w:val="296323DA"/>
    <w:rsid w:val="297818F3"/>
    <w:rsid w:val="297F5EFD"/>
    <w:rsid w:val="29BF3AB4"/>
    <w:rsid w:val="29EB5041"/>
    <w:rsid w:val="2A48213D"/>
    <w:rsid w:val="2A491CFE"/>
    <w:rsid w:val="2A581813"/>
    <w:rsid w:val="2A830F86"/>
    <w:rsid w:val="2A9B5AFB"/>
    <w:rsid w:val="2AE82B97"/>
    <w:rsid w:val="2B053A8E"/>
    <w:rsid w:val="2B69017C"/>
    <w:rsid w:val="2BBB02AC"/>
    <w:rsid w:val="2C385DA0"/>
    <w:rsid w:val="2C541DCF"/>
    <w:rsid w:val="2D8748E9"/>
    <w:rsid w:val="2D8868B3"/>
    <w:rsid w:val="2D8D15E8"/>
    <w:rsid w:val="2DE81608"/>
    <w:rsid w:val="2DF87595"/>
    <w:rsid w:val="2E2F3590"/>
    <w:rsid w:val="2E50392C"/>
    <w:rsid w:val="2E777D30"/>
    <w:rsid w:val="2EC05B23"/>
    <w:rsid w:val="2F1E74CF"/>
    <w:rsid w:val="2FBC45F2"/>
    <w:rsid w:val="2FE8468F"/>
    <w:rsid w:val="2FEA5603"/>
    <w:rsid w:val="305D382D"/>
    <w:rsid w:val="30C754D6"/>
    <w:rsid w:val="30D81900"/>
    <w:rsid w:val="30E107B4"/>
    <w:rsid w:val="31AF2660"/>
    <w:rsid w:val="31C06A98"/>
    <w:rsid w:val="31E22FAC"/>
    <w:rsid w:val="323E5792"/>
    <w:rsid w:val="324803BF"/>
    <w:rsid w:val="32C43EEA"/>
    <w:rsid w:val="32C71C2C"/>
    <w:rsid w:val="32D51D62"/>
    <w:rsid w:val="33072F47"/>
    <w:rsid w:val="33CF0D98"/>
    <w:rsid w:val="341378C2"/>
    <w:rsid w:val="34945B3E"/>
    <w:rsid w:val="34C06A05"/>
    <w:rsid w:val="34F62354"/>
    <w:rsid w:val="3538471B"/>
    <w:rsid w:val="359D40B8"/>
    <w:rsid w:val="35BC70FA"/>
    <w:rsid w:val="364049F9"/>
    <w:rsid w:val="3641163C"/>
    <w:rsid w:val="364517E5"/>
    <w:rsid w:val="36764696"/>
    <w:rsid w:val="36AC2EC0"/>
    <w:rsid w:val="36B67168"/>
    <w:rsid w:val="37222F86"/>
    <w:rsid w:val="374B6987"/>
    <w:rsid w:val="376F381A"/>
    <w:rsid w:val="377E0EAD"/>
    <w:rsid w:val="37922808"/>
    <w:rsid w:val="38250D07"/>
    <w:rsid w:val="384B0C09"/>
    <w:rsid w:val="38506395"/>
    <w:rsid w:val="39316051"/>
    <w:rsid w:val="39611804"/>
    <w:rsid w:val="39775E45"/>
    <w:rsid w:val="39873EC3"/>
    <w:rsid w:val="39AC3CEA"/>
    <w:rsid w:val="3A4A1178"/>
    <w:rsid w:val="3A972F8C"/>
    <w:rsid w:val="3AD56CC2"/>
    <w:rsid w:val="3AD66F24"/>
    <w:rsid w:val="3B40671F"/>
    <w:rsid w:val="3B6312E8"/>
    <w:rsid w:val="3B7346FF"/>
    <w:rsid w:val="3BC11291"/>
    <w:rsid w:val="3BC875B4"/>
    <w:rsid w:val="3C017566"/>
    <w:rsid w:val="3C1D0701"/>
    <w:rsid w:val="3C2B3D30"/>
    <w:rsid w:val="3C460065"/>
    <w:rsid w:val="3C574020"/>
    <w:rsid w:val="3C575DCE"/>
    <w:rsid w:val="3C887370"/>
    <w:rsid w:val="3CD02A0F"/>
    <w:rsid w:val="3D332398"/>
    <w:rsid w:val="3D4E71D1"/>
    <w:rsid w:val="3D5B369C"/>
    <w:rsid w:val="3D766728"/>
    <w:rsid w:val="3D8D0D55"/>
    <w:rsid w:val="3DAA0180"/>
    <w:rsid w:val="3DE6565C"/>
    <w:rsid w:val="3DFE0BF8"/>
    <w:rsid w:val="3E522CF1"/>
    <w:rsid w:val="3E66535E"/>
    <w:rsid w:val="3E76264A"/>
    <w:rsid w:val="3EE9633C"/>
    <w:rsid w:val="3EFE4C27"/>
    <w:rsid w:val="3F0A35CC"/>
    <w:rsid w:val="3F540EFC"/>
    <w:rsid w:val="3F604F9A"/>
    <w:rsid w:val="3F75015F"/>
    <w:rsid w:val="3FC217B1"/>
    <w:rsid w:val="404B1BBF"/>
    <w:rsid w:val="405E4F42"/>
    <w:rsid w:val="40983D26"/>
    <w:rsid w:val="40A91A4C"/>
    <w:rsid w:val="414F52C6"/>
    <w:rsid w:val="418A09F4"/>
    <w:rsid w:val="41AF045B"/>
    <w:rsid w:val="41B617E9"/>
    <w:rsid w:val="41FE7CC7"/>
    <w:rsid w:val="420D1C81"/>
    <w:rsid w:val="42254279"/>
    <w:rsid w:val="428E62C2"/>
    <w:rsid w:val="42BC698B"/>
    <w:rsid w:val="42D31F27"/>
    <w:rsid w:val="42E859D2"/>
    <w:rsid w:val="43065568"/>
    <w:rsid w:val="430F7403"/>
    <w:rsid w:val="434E24C7"/>
    <w:rsid w:val="436A288B"/>
    <w:rsid w:val="437D25BE"/>
    <w:rsid w:val="438576C5"/>
    <w:rsid w:val="43993170"/>
    <w:rsid w:val="440B4EEF"/>
    <w:rsid w:val="44254A04"/>
    <w:rsid w:val="44AD5C7B"/>
    <w:rsid w:val="44FB5DFB"/>
    <w:rsid w:val="450146A4"/>
    <w:rsid w:val="45097E5A"/>
    <w:rsid w:val="45782784"/>
    <w:rsid w:val="45C27FE4"/>
    <w:rsid w:val="462E7F99"/>
    <w:rsid w:val="465A0995"/>
    <w:rsid w:val="469B5069"/>
    <w:rsid w:val="46A977DF"/>
    <w:rsid w:val="46EF2A0F"/>
    <w:rsid w:val="4732546E"/>
    <w:rsid w:val="47413903"/>
    <w:rsid w:val="474A6C5C"/>
    <w:rsid w:val="47525B10"/>
    <w:rsid w:val="47AD0F98"/>
    <w:rsid w:val="47D06A35"/>
    <w:rsid w:val="47DA3C27"/>
    <w:rsid w:val="480C2163"/>
    <w:rsid w:val="481132D5"/>
    <w:rsid w:val="48182E98"/>
    <w:rsid w:val="484E10AB"/>
    <w:rsid w:val="488167F4"/>
    <w:rsid w:val="4884349D"/>
    <w:rsid w:val="489B780B"/>
    <w:rsid w:val="48BA1BBF"/>
    <w:rsid w:val="48BB7B71"/>
    <w:rsid w:val="48CE566A"/>
    <w:rsid w:val="48D80297"/>
    <w:rsid w:val="48EB1D78"/>
    <w:rsid w:val="48F92F74"/>
    <w:rsid w:val="496B110B"/>
    <w:rsid w:val="49995210"/>
    <w:rsid w:val="49AE6DB8"/>
    <w:rsid w:val="49B55DC7"/>
    <w:rsid w:val="49BC1967"/>
    <w:rsid w:val="49F66C27"/>
    <w:rsid w:val="4A423CB1"/>
    <w:rsid w:val="4A5F6809"/>
    <w:rsid w:val="4A626C97"/>
    <w:rsid w:val="4BBF0003"/>
    <w:rsid w:val="4BC87E8A"/>
    <w:rsid w:val="4BE56F53"/>
    <w:rsid w:val="4C206D1B"/>
    <w:rsid w:val="4CA43DA3"/>
    <w:rsid w:val="4CAC48BA"/>
    <w:rsid w:val="4CC41C4C"/>
    <w:rsid w:val="4CCF375F"/>
    <w:rsid w:val="4D551EB6"/>
    <w:rsid w:val="4DE35714"/>
    <w:rsid w:val="4E2875CB"/>
    <w:rsid w:val="4E3C4E24"/>
    <w:rsid w:val="4E6A1991"/>
    <w:rsid w:val="4E6B61CB"/>
    <w:rsid w:val="4E9051F3"/>
    <w:rsid w:val="4F267703"/>
    <w:rsid w:val="4F345D0C"/>
    <w:rsid w:val="4F3F0CCB"/>
    <w:rsid w:val="4F530A3F"/>
    <w:rsid w:val="4FC155E1"/>
    <w:rsid w:val="50005A1C"/>
    <w:rsid w:val="50151DD1"/>
    <w:rsid w:val="501975D8"/>
    <w:rsid w:val="50E6470E"/>
    <w:rsid w:val="510669B9"/>
    <w:rsid w:val="51B549B9"/>
    <w:rsid w:val="51C4334C"/>
    <w:rsid w:val="51F41470"/>
    <w:rsid w:val="521A36CE"/>
    <w:rsid w:val="52940917"/>
    <w:rsid w:val="52CF2E03"/>
    <w:rsid w:val="530B425A"/>
    <w:rsid w:val="5312649D"/>
    <w:rsid w:val="532145E9"/>
    <w:rsid w:val="532A7941"/>
    <w:rsid w:val="537D5324"/>
    <w:rsid w:val="53874D93"/>
    <w:rsid w:val="53DD2CA6"/>
    <w:rsid w:val="53E67D0C"/>
    <w:rsid w:val="53F51CFD"/>
    <w:rsid w:val="54091C4C"/>
    <w:rsid w:val="54260108"/>
    <w:rsid w:val="544607AB"/>
    <w:rsid w:val="549537A4"/>
    <w:rsid w:val="54C65448"/>
    <w:rsid w:val="54D9161F"/>
    <w:rsid w:val="55110DB9"/>
    <w:rsid w:val="551B39E5"/>
    <w:rsid w:val="55200136"/>
    <w:rsid w:val="557E7436"/>
    <w:rsid w:val="55DB13C7"/>
    <w:rsid w:val="56024BA5"/>
    <w:rsid w:val="560C1973"/>
    <w:rsid w:val="56102E1E"/>
    <w:rsid w:val="561A3C9D"/>
    <w:rsid w:val="567C4958"/>
    <w:rsid w:val="568004A6"/>
    <w:rsid w:val="568473E1"/>
    <w:rsid w:val="569C2904"/>
    <w:rsid w:val="574E7918"/>
    <w:rsid w:val="57FB7AFE"/>
    <w:rsid w:val="58353876"/>
    <w:rsid w:val="58417C07"/>
    <w:rsid w:val="58A91308"/>
    <w:rsid w:val="58AD5037"/>
    <w:rsid w:val="59170968"/>
    <w:rsid w:val="59697031"/>
    <w:rsid w:val="5999312B"/>
    <w:rsid w:val="59D32AE1"/>
    <w:rsid w:val="59D40607"/>
    <w:rsid w:val="59E84340"/>
    <w:rsid w:val="5A526174"/>
    <w:rsid w:val="5A585746"/>
    <w:rsid w:val="5AF56A87"/>
    <w:rsid w:val="5B6446EA"/>
    <w:rsid w:val="5B745BFD"/>
    <w:rsid w:val="5B952B51"/>
    <w:rsid w:val="5C0A0662"/>
    <w:rsid w:val="5C1949F7"/>
    <w:rsid w:val="5CA24B14"/>
    <w:rsid w:val="5CBF559E"/>
    <w:rsid w:val="5CD03307"/>
    <w:rsid w:val="5CED6664"/>
    <w:rsid w:val="5D177188"/>
    <w:rsid w:val="5D6D4FFA"/>
    <w:rsid w:val="5D7021B5"/>
    <w:rsid w:val="5E023994"/>
    <w:rsid w:val="5E086AD1"/>
    <w:rsid w:val="5E147DB9"/>
    <w:rsid w:val="5E1611EE"/>
    <w:rsid w:val="5E190683"/>
    <w:rsid w:val="5E2F0501"/>
    <w:rsid w:val="5E2F4233"/>
    <w:rsid w:val="5E4939F9"/>
    <w:rsid w:val="5E525F9E"/>
    <w:rsid w:val="5E5341F0"/>
    <w:rsid w:val="5E59557E"/>
    <w:rsid w:val="5E774C6B"/>
    <w:rsid w:val="5E845B01"/>
    <w:rsid w:val="5EAB3ECB"/>
    <w:rsid w:val="5EC72422"/>
    <w:rsid w:val="5EE66E12"/>
    <w:rsid w:val="5F2457EA"/>
    <w:rsid w:val="5F315082"/>
    <w:rsid w:val="5FA647F3"/>
    <w:rsid w:val="5FBF1411"/>
    <w:rsid w:val="5FD2383A"/>
    <w:rsid w:val="602D0A71"/>
    <w:rsid w:val="606F72DB"/>
    <w:rsid w:val="61274601"/>
    <w:rsid w:val="614632BC"/>
    <w:rsid w:val="614B38A4"/>
    <w:rsid w:val="62326812"/>
    <w:rsid w:val="6239194F"/>
    <w:rsid w:val="625F710F"/>
    <w:rsid w:val="628A21AA"/>
    <w:rsid w:val="628C5F22"/>
    <w:rsid w:val="62A36DC8"/>
    <w:rsid w:val="62B64D4D"/>
    <w:rsid w:val="62B66AFB"/>
    <w:rsid w:val="62BD4E12"/>
    <w:rsid w:val="62CA25A7"/>
    <w:rsid w:val="62CF3FEF"/>
    <w:rsid w:val="62FB104C"/>
    <w:rsid w:val="631D54C0"/>
    <w:rsid w:val="632A6E3F"/>
    <w:rsid w:val="63334315"/>
    <w:rsid w:val="637D586B"/>
    <w:rsid w:val="638B61DA"/>
    <w:rsid w:val="63D74F7B"/>
    <w:rsid w:val="640146EE"/>
    <w:rsid w:val="640B731B"/>
    <w:rsid w:val="642108EC"/>
    <w:rsid w:val="645C068E"/>
    <w:rsid w:val="64AD49D2"/>
    <w:rsid w:val="64BB489D"/>
    <w:rsid w:val="64FB3541"/>
    <w:rsid w:val="65006754"/>
    <w:rsid w:val="651266F7"/>
    <w:rsid w:val="652561BA"/>
    <w:rsid w:val="65273CE0"/>
    <w:rsid w:val="65385EEE"/>
    <w:rsid w:val="656A4A49"/>
    <w:rsid w:val="65EE0CA2"/>
    <w:rsid w:val="66B446D0"/>
    <w:rsid w:val="66ED0F5A"/>
    <w:rsid w:val="66EF4DE9"/>
    <w:rsid w:val="66F60233"/>
    <w:rsid w:val="6716225F"/>
    <w:rsid w:val="67566AFF"/>
    <w:rsid w:val="67890C82"/>
    <w:rsid w:val="679D653E"/>
    <w:rsid w:val="67B03737"/>
    <w:rsid w:val="682D5AB2"/>
    <w:rsid w:val="683B7530"/>
    <w:rsid w:val="6861236D"/>
    <w:rsid w:val="686E1C26"/>
    <w:rsid w:val="68EA74FF"/>
    <w:rsid w:val="69020CEC"/>
    <w:rsid w:val="690C441C"/>
    <w:rsid w:val="692D3895"/>
    <w:rsid w:val="693B7D5A"/>
    <w:rsid w:val="695928D6"/>
    <w:rsid w:val="69934FDB"/>
    <w:rsid w:val="69DF4B8A"/>
    <w:rsid w:val="6A070584"/>
    <w:rsid w:val="6A1A3E14"/>
    <w:rsid w:val="6A245CE4"/>
    <w:rsid w:val="6A9E2C97"/>
    <w:rsid w:val="6AA81420"/>
    <w:rsid w:val="6B0C503B"/>
    <w:rsid w:val="6B0D15D1"/>
    <w:rsid w:val="6B2260FF"/>
    <w:rsid w:val="6B4355EC"/>
    <w:rsid w:val="6B5B46E4"/>
    <w:rsid w:val="6B673089"/>
    <w:rsid w:val="6BBA6682"/>
    <w:rsid w:val="6BDE3D17"/>
    <w:rsid w:val="6BF863D7"/>
    <w:rsid w:val="6C092101"/>
    <w:rsid w:val="6C3167FD"/>
    <w:rsid w:val="6C3D203B"/>
    <w:rsid w:val="6C53360D"/>
    <w:rsid w:val="6CB202B7"/>
    <w:rsid w:val="6CFC7FBF"/>
    <w:rsid w:val="6D083EB7"/>
    <w:rsid w:val="6D335D29"/>
    <w:rsid w:val="6D5E04BB"/>
    <w:rsid w:val="6D8C5028"/>
    <w:rsid w:val="6D9744CE"/>
    <w:rsid w:val="6DC20A4A"/>
    <w:rsid w:val="6E344E0D"/>
    <w:rsid w:val="6E421998"/>
    <w:rsid w:val="6E6265D7"/>
    <w:rsid w:val="6E6552CB"/>
    <w:rsid w:val="6E8421A4"/>
    <w:rsid w:val="6E874A9B"/>
    <w:rsid w:val="6EB011EB"/>
    <w:rsid w:val="6EE80984"/>
    <w:rsid w:val="6F286FD3"/>
    <w:rsid w:val="6F6A75EB"/>
    <w:rsid w:val="6FFE5F86"/>
    <w:rsid w:val="701557A9"/>
    <w:rsid w:val="70227EC6"/>
    <w:rsid w:val="706E4EB9"/>
    <w:rsid w:val="70E60EF4"/>
    <w:rsid w:val="70FF5B11"/>
    <w:rsid w:val="711A06BD"/>
    <w:rsid w:val="71341C5F"/>
    <w:rsid w:val="714A1CDD"/>
    <w:rsid w:val="714E0847"/>
    <w:rsid w:val="71710A22"/>
    <w:rsid w:val="71867FE1"/>
    <w:rsid w:val="71B92164"/>
    <w:rsid w:val="71F95820"/>
    <w:rsid w:val="720535FB"/>
    <w:rsid w:val="72750781"/>
    <w:rsid w:val="727A2772"/>
    <w:rsid w:val="729F57FE"/>
    <w:rsid w:val="72C23DF0"/>
    <w:rsid w:val="72DD1E82"/>
    <w:rsid w:val="72F64EA9"/>
    <w:rsid w:val="73221F8B"/>
    <w:rsid w:val="735C32E1"/>
    <w:rsid w:val="7367736B"/>
    <w:rsid w:val="738549F4"/>
    <w:rsid w:val="738D1AFA"/>
    <w:rsid w:val="741E2752"/>
    <w:rsid w:val="74C909F0"/>
    <w:rsid w:val="74E077D3"/>
    <w:rsid w:val="74FD680C"/>
    <w:rsid w:val="750B717B"/>
    <w:rsid w:val="750C6A4F"/>
    <w:rsid w:val="753D30AC"/>
    <w:rsid w:val="75563DE9"/>
    <w:rsid w:val="75640639"/>
    <w:rsid w:val="75C468AD"/>
    <w:rsid w:val="763C5112"/>
    <w:rsid w:val="76592168"/>
    <w:rsid w:val="76606F29"/>
    <w:rsid w:val="76DA32A9"/>
    <w:rsid w:val="76F861DB"/>
    <w:rsid w:val="77170059"/>
    <w:rsid w:val="78AB0FBF"/>
    <w:rsid w:val="792C5912"/>
    <w:rsid w:val="794E3ADA"/>
    <w:rsid w:val="795F7A95"/>
    <w:rsid w:val="799A0ACD"/>
    <w:rsid w:val="79D35B24"/>
    <w:rsid w:val="7A392305"/>
    <w:rsid w:val="7A4851FC"/>
    <w:rsid w:val="7A782F9B"/>
    <w:rsid w:val="7B220D7A"/>
    <w:rsid w:val="7B332F87"/>
    <w:rsid w:val="7BA50FE7"/>
    <w:rsid w:val="7BF2148A"/>
    <w:rsid w:val="7C6064DA"/>
    <w:rsid w:val="7CA852AF"/>
    <w:rsid w:val="7CAD1A03"/>
    <w:rsid w:val="7CB47CBD"/>
    <w:rsid w:val="7CBC0D5A"/>
    <w:rsid w:val="7CCD11BA"/>
    <w:rsid w:val="7CE56503"/>
    <w:rsid w:val="7DAE0FEB"/>
    <w:rsid w:val="7DC21B1B"/>
    <w:rsid w:val="7DD8701C"/>
    <w:rsid w:val="7DEC566F"/>
    <w:rsid w:val="7E070777"/>
    <w:rsid w:val="7E37290E"/>
    <w:rsid w:val="7EDC1B88"/>
    <w:rsid w:val="7EEE4DC5"/>
    <w:rsid w:val="7EEF18BB"/>
    <w:rsid w:val="7F5E6970"/>
    <w:rsid w:val="7F78540D"/>
    <w:rsid w:val="7F9D7289"/>
    <w:rsid w:val="7FDF70E1"/>
    <w:rsid w:val="7FE86ABB"/>
    <w:rsid w:val="7FF3567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qFormat="1"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qFormat="1"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name="Balloon Text"/>
    <w:lsdException w:qFormat="1" w:unhideWhenUsed="0" w:uiPriority="39" w:semiHidden="0" w:name="Table Grid"/>
    <w:lsdException w:unhideWhenUsed="0"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4"/>
    <w:qFormat/>
    <w:uiPriority w:val="9"/>
    <w:pPr>
      <w:keepNext/>
      <w:outlineLvl w:val="0"/>
    </w:pPr>
    <w:rPr>
      <w:rFonts w:eastAsia="幼圆"/>
      <w:sz w:val="28"/>
      <w:szCs w:val="20"/>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3">
    <w:name w:val="toc 7"/>
    <w:basedOn w:val="1"/>
    <w:next w:val="1"/>
    <w:autoRedefine/>
    <w:semiHidden/>
    <w:unhideWhenUsed/>
    <w:qFormat/>
    <w:uiPriority w:val="39"/>
    <w:pPr>
      <w:ind w:left="2520" w:leftChars="1200"/>
    </w:pPr>
    <w:rPr>
      <w:rFonts w:asciiTheme="minorHAnsi" w:hAnsiTheme="minorHAnsi" w:eastAsiaTheme="minorEastAsia" w:cstheme="minorBidi"/>
      <w:szCs w:val="22"/>
    </w:rPr>
  </w:style>
  <w:style w:type="paragraph" w:styleId="4">
    <w:name w:val="Normal Indent"/>
    <w:basedOn w:val="1"/>
    <w:semiHidden/>
    <w:unhideWhenUsed/>
    <w:qFormat/>
    <w:uiPriority w:val="99"/>
    <w:pPr>
      <w:ind w:firstLine="420" w:firstLineChars="200"/>
    </w:pPr>
  </w:style>
  <w:style w:type="paragraph" w:styleId="5">
    <w:name w:val="annotation text"/>
    <w:basedOn w:val="1"/>
    <w:link w:val="40"/>
    <w:semiHidden/>
    <w:unhideWhenUsed/>
    <w:qFormat/>
    <w:uiPriority w:val="99"/>
    <w:pPr>
      <w:jc w:val="left"/>
    </w:pPr>
  </w:style>
  <w:style w:type="paragraph" w:styleId="6">
    <w:name w:val="Body Text"/>
    <w:basedOn w:val="1"/>
    <w:link w:val="86"/>
    <w:semiHidden/>
    <w:unhideWhenUsed/>
    <w:qFormat/>
    <w:uiPriority w:val="99"/>
    <w:pPr>
      <w:spacing w:after="120"/>
    </w:pPr>
  </w:style>
  <w:style w:type="paragraph" w:styleId="7">
    <w:name w:val="Body Text Indent"/>
    <w:basedOn w:val="1"/>
    <w:semiHidden/>
    <w:unhideWhenUsed/>
    <w:qFormat/>
    <w:uiPriority w:val="99"/>
    <w:pPr>
      <w:ind w:left="105" w:firstLine="570"/>
    </w:pPr>
    <w:rPr>
      <w:rFonts w:eastAsia="立体宋体-10Point"/>
      <w:b/>
      <w:sz w:val="32"/>
      <w:szCs w:val="20"/>
    </w:rPr>
  </w:style>
  <w:style w:type="paragraph" w:styleId="8">
    <w:name w:val="toc 5"/>
    <w:basedOn w:val="1"/>
    <w:next w:val="1"/>
    <w:autoRedefine/>
    <w:semiHidden/>
    <w:unhideWhenUsed/>
    <w:qFormat/>
    <w:uiPriority w:val="39"/>
    <w:pPr>
      <w:ind w:left="1680" w:leftChars="800"/>
    </w:pPr>
    <w:rPr>
      <w:rFonts w:asciiTheme="minorHAnsi" w:hAnsiTheme="minorHAnsi" w:eastAsiaTheme="minorEastAsia" w:cstheme="minorBidi"/>
      <w:szCs w:val="22"/>
    </w:rPr>
  </w:style>
  <w:style w:type="paragraph" w:styleId="9">
    <w:name w:val="toc 3"/>
    <w:basedOn w:val="1"/>
    <w:next w:val="1"/>
    <w:autoRedefine/>
    <w:semiHidden/>
    <w:unhideWhenUsed/>
    <w:qFormat/>
    <w:uiPriority w:val="39"/>
    <w:pPr>
      <w:ind w:left="840" w:leftChars="400"/>
    </w:pPr>
  </w:style>
  <w:style w:type="paragraph" w:styleId="10">
    <w:name w:val="Plain Text"/>
    <w:basedOn w:val="1"/>
    <w:link w:val="36"/>
    <w:semiHidden/>
    <w:unhideWhenUsed/>
    <w:qFormat/>
    <w:uiPriority w:val="99"/>
    <w:rPr>
      <w:rFonts w:ascii="宋体" w:hAnsi="Courier New"/>
      <w:szCs w:val="20"/>
    </w:rPr>
  </w:style>
  <w:style w:type="paragraph" w:styleId="11">
    <w:name w:val="toc 8"/>
    <w:basedOn w:val="1"/>
    <w:next w:val="1"/>
    <w:autoRedefine/>
    <w:semiHidden/>
    <w:unhideWhenUsed/>
    <w:qFormat/>
    <w:uiPriority w:val="39"/>
    <w:pPr>
      <w:ind w:left="2940" w:leftChars="1400"/>
    </w:pPr>
    <w:rPr>
      <w:rFonts w:asciiTheme="minorHAnsi" w:hAnsiTheme="minorHAnsi" w:eastAsiaTheme="minorEastAsia" w:cstheme="minorBidi"/>
      <w:szCs w:val="22"/>
    </w:rPr>
  </w:style>
  <w:style w:type="paragraph" w:styleId="12">
    <w:name w:val="Date"/>
    <w:basedOn w:val="1"/>
    <w:next w:val="1"/>
    <w:semiHidden/>
    <w:unhideWhenUsed/>
    <w:qFormat/>
    <w:uiPriority w:val="99"/>
    <w:pPr>
      <w:ind w:left="100" w:leftChars="2500"/>
    </w:pPr>
  </w:style>
  <w:style w:type="paragraph" w:styleId="13">
    <w:name w:val="Body Text Indent 2"/>
    <w:basedOn w:val="1"/>
    <w:semiHidden/>
    <w:unhideWhenUsed/>
    <w:qFormat/>
    <w:uiPriority w:val="99"/>
    <w:pPr>
      <w:spacing w:after="120" w:line="480" w:lineRule="auto"/>
      <w:ind w:left="420" w:leftChars="200"/>
    </w:pPr>
  </w:style>
  <w:style w:type="paragraph" w:styleId="14">
    <w:name w:val="Balloon Text"/>
    <w:basedOn w:val="1"/>
    <w:semiHidden/>
    <w:unhideWhenUsed/>
    <w:qFormat/>
    <w:uiPriority w:val="99"/>
    <w:rPr>
      <w:sz w:val="18"/>
      <w:szCs w:val="18"/>
    </w:rPr>
  </w:style>
  <w:style w:type="paragraph" w:styleId="15">
    <w:name w:val="footer"/>
    <w:basedOn w:val="1"/>
    <w:link w:val="38"/>
    <w:semiHidden/>
    <w:unhideWhenUsed/>
    <w:qFormat/>
    <w:uiPriority w:val="99"/>
    <w:pPr>
      <w:tabs>
        <w:tab w:val="center" w:pos="4153"/>
        <w:tab w:val="right" w:pos="8306"/>
      </w:tabs>
      <w:snapToGrid w:val="0"/>
      <w:jc w:val="left"/>
    </w:pPr>
    <w:rPr>
      <w:sz w:val="18"/>
      <w:szCs w:val="18"/>
    </w:rPr>
  </w:style>
  <w:style w:type="paragraph" w:styleId="16">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unhideWhenUsed/>
    <w:qFormat/>
    <w:uiPriority w:val="39"/>
  </w:style>
  <w:style w:type="paragraph" w:styleId="18">
    <w:name w:val="toc 4"/>
    <w:basedOn w:val="1"/>
    <w:next w:val="1"/>
    <w:autoRedefine/>
    <w:semiHidden/>
    <w:unhideWhenUsed/>
    <w:qFormat/>
    <w:uiPriority w:val="39"/>
    <w:pPr>
      <w:ind w:left="1260" w:leftChars="600"/>
    </w:pPr>
    <w:rPr>
      <w:rFonts w:asciiTheme="minorHAnsi" w:hAnsiTheme="minorHAnsi" w:eastAsiaTheme="minorEastAsia" w:cstheme="minorBidi"/>
      <w:szCs w:val="22"/>
    </w:rPr>
  </w:style>
  <w:style w:type="paragraph" w:styleId="19">
    <w:name w:val="Subtitle"/>
    <w:basedOn w:val="1"/>
    <w:next w:val="1"/>
    <w:link w:val="80"/>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20">
    <w:name w:val="toc 6"/>
    <w:basedOn w:val="1"/>
    <w:next w:val="1"/>
    <w:autoRedefine/>
    <w:semiHidden/>
    <w:unhideWhenUsed/>
    <w:qFormat/>
    <w:uiPriority w:val="39"/>
    <w:pPr>
      <w:ind w:left="2100" w:leftChars="1000"/>
    </w:pPr>
    <w:rPr>
      <w:rFonts w:asciiTheme="minorHAnsi" w:hAnsiTheme="minorHAnsi" w:eastAsiaTheme="minorEastAsia" w:cstheme="minorBidi"/>
      <w:szCs w:val="22"/>
    </w:rPr>
  </w:style>
  <w:style w:type="paragraph" w:styleId="21">
    <w:name w:val="Body Text Indent 3"/>
    <w:basedOn w:val="1"/>
    <w:semiHidden/>
    <w:unhideWhenUsed/>
    <w:qFormat/>
    <w:uiPriority w:val="99"/>
    <w:pPr>
      <w:spacing w:after="120"/>
      <w:ind w:left="420" w:leftChars="200"/>
    </w:pPr>
    <w:rPr>
      <w:sz w:val="16"/>
      <w:szCs w:val="16"/>
    </w:rPr>
  </w:style>
  <w:style w:type="paragraph" w:styleId="22">
    <w:name w:val="toc 2"/>
    <w:basedOn w:val="1"/>
    <w:next w:val="1"/>
    <w:autoRedefine/>
    <w:semiHidden/>
    <w:unhideWhenUsed/>
    <w:qFormat/>
    <w:uiPriority w:val="39"/>
    <w:pPr>
      <w:ind w:left="420" w:leftChars="200"/>
    </w:pPr>
  </w:style>
  <w:style w:type="paragraph" w:styleId="23">
    <w:name w:val="toc 9"/>
    <w:basedOn w:val="1"/>
    <w:next w:val="1"/>
    <w:autoRedefine/>
    <w:semiHidden/>
    <w:unhideWhenUsed/>
    <w:qFormat/>
    <w:uiPriority w:val="39"/>
    <w:pPr>
      <w:ind w:left="3360" w:leftChars="1600"/>
    </w:pPr>
    <w:rPr>
      <w:rFonts w:asciiTheme="minorHAnsi" w:hAnsiTheme="minorHAnsi" w:eastAsiaTheme="minorEastAsia" w:cstheme="minorBidi"/>
      <w:szCs w:val="22"/>
    </w:rPr>
  </w:style>
  <w:style w:type="paragraph" w:styleId="24">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paragraph" w:styleId="25">
    <w:name w:val="Title"/>
    <w:basedOn w:val="1"/>
    <w:next w:val="1"/>
    <w:link w:val="77"/>
    <w:qFormat/>
    <w:uiPriority w:val="10"/>
    <w:pPr>
      <w:spacing w:before="240" w:after="60"/>
      <w:jc w:val="center"/>
      <w:outlineLvl w:val="0"/>
    </w:pPr>
    <w:rPr>
      <w:rFonts w:asciiTheme="majorHAnsi" w:hAnsiTheme="majorHAnsi" w:cstheme="majorBidi"/>
      <w:b/>
      <w:bCs/>
      <w:sz w:val="32"/>
      <w:szCs w:val="32"/>
    </w:rPr>
  </w:style>
  <w:style w:type="paragraph" w:styleId="26">
    <w:name w:val="annotation subject"/>
    <w:basedOn w:val="5"/>
    <w:next w:val="5"/>
    <w:link w:val="41"/>
    <w:semiHidden/>
    <w:unhideWhenUsed/>
    <w:qFormat/>
    <w:uiPriority w:val="99"/>
    <w:rPr>
      <w:b/>
      <w:bCs/>
    </w:rPr>
  </w:style>
  <w:style w:type="table" w:styleId="28">
    <w:name w:val="Table Grid"/>
    <w:basedOn w:val="2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basedOn w:val="29"/>
    <w:qFormat/>
    <w:uiPriority w:val="22"/>
    <w:rPr>
      <w:b/>
      <w:bCs/>
    </w:rPr>
  </w:style>
  <w:style w:type="character" w:styleId="31">
    <w:name w:val="page number"/>
    <w:basedOn w:val="29"/>
    <w:semiHidden/>
    <w:unhideWhenUsed/>
    <w:qFormat/>
    <w:uiPriority w:val="99"/>
    <w:rPr>
      <w:rFonts w:cs="Times New Roman"/>
    </w:rPr>
  </w:style>
  <w:style w:type="character" w:styleId="32">
    <w:name w:val="FollowedHyperlink"/>
    <w:basedOn w:val="29"/>
    <w:semiHidden/>
    <w:unhideWhenUsed/>
    <w:qFormat/>
    <w:uiPriority w:val="99"/>
    <w:rPr>
      <w:color w:val="800080"/>
      <w:u w:val="single"/>
    </w:rPr>
  </w:style>
  <w:style w:type="character" w:styleId="33">
    <w:name w:val="Emphasis"/>
    <w:basedOn w:val="29"/>
    <w:qFormat/>
    <w:uiPriority w:val="20"/>
    <w:rPr>
      <w:i/>
      <w:iCs/>
    </w:rPr>
  </w:style>
  <w:style w:type="character" w:styleId="34">
    <w:name w:val="Hyperlink"/>
    <w:basedOn w:val="29"/>
    <w:semiHidden/>
    <w:unhideWhenUsed/>
    <w:qFormat/>
    <w:uiPriority w:val="99"/>
    <w:rPr>
      <w:rFonts w:cs="Times New Roman"/>
      <w:color w:val="0000FF"/>
      <w:u w:val="single"/>
    </w:rPr>
  </w:style>
  <w:style w:type="character" w:styleId="35">
    <w:name w:val="annotation reference"/>
    <w:basedOn w:val="29"/>
    <w:semiHidden/>
    <w:unhideWhenUsed/>
    <w:qFormat/>
    <w:uiPriority w:val="99"/>
    <w:rPr>
      <w:sz w:val="21"/>
      <w:szCs w:val="21"/>
    </w:rPr>
  </w:style>
  <w:style w:type="character" w:customStyle="1" w:styleId="36">
    <w:name w:val="纯文本 Char"/>
    <w:basedOn w:val="29"/>
    <w:link w:val="10"/>
    <w:qFormat/>
    <w:locked/>
    <w:uiPriority w:val="0"/>
    <w:rPr>
      <w:rFonts w:ascii="宋体" w:hAnsi="Courier New" w:cs="Times New Roman"/>
      <w:kern w:val="2"/>
      <w:sz w:val="21"/>
    </w:rPr>
  </w:style>
  <w:style w:type="paragraph" w:customStyle="1" w:styleId="37">
    <w:name w:val="TOC 标题1"/>
    <w:basedOn w:val="2"/>
    <w:next w:val="1"/>
    <w:qFormat/>
    <w:uiPriority w:val="0"/>
    <w:pPr>
      <w:keepLines/>
      <w:widowControl/>
      <w:spacing w:before="480" w:line="276" w:lineRule="auto"/>
      <w:jc w:val="left"/>
      <w:outlineLvl w:val="9"/>
    </w:pPr>
    <w:rPr>
      <w:rFonts w:ascii="Cambria" w:hAnsi="Cambria" w:eastAsia="宋体"/>
      <w:b/>
      <w:bCs/>
      <w:color w:val="365F91"/>
      <w:kern w:val="0"/>
      <w:szCs w:val="28"/>
    </w:rPr>
  </w:style>
  <w:style w:type="character" w:customStyle="1" w:styleId="38">
    <w:name w:val="页脚 Char"/>
    <w:basedOn w:val="29"/>
    <w:link w:val="15"/>
    <w:qFormat/>
    <w:uiPriority w:val="99"/>
    <w:rPr>
      <w:kern w:val="2"/>
      <w:sz w:val="18"/>
      <w:szCs w:val="18"/>
    </w:rPr>
  </w:style>
  <w:style w:type="paragraph" w:customStyle="1" w:styleId="39">
    <w:name w:val="样式72"/>
    <w:basedOn w:val="4"/>
    <w:qFormat/>
    <w:uiPriority w:val="0"/>
    <w:pPr>
      <w:numPr>
        <w:ilvl w:val="0"/>
        <w:numId w:val="1"/>
      </w:numPr>
      <w:ind w:firstLine="0" w:firstLineChars="0"/>
    </w:pPr>
    <w:rPr>
      <w:rFonts w:eastAsia="仿宋_GB2312"/>
      <w:sz w:val="32"/>
    </w:rPr>
  </w:style>
  <w:style w:type="character" w:customStyle="1" w:styleId="40">
    <w:name w:val="批注文字 Char"/>
    <w:basedOn w:val="29"/>
    <w:link w:val="5"/>
    <w:qFormat/>
    <w:uiPriority w:val="0"/>
    <w:rPr>
      <w:kern w:val="2"/>
      <w:sz w:val="21"/>
      <w:szCs w:val="24"/>
    </w:rPr>
  </w:style>
  <w:style w:type="character" w:customStyle="1" w:styleId="41">
    <w:name w:val="批注主题 Char"/>
    <w:basedOn w:val="40"/>
    <w:link w:val="26"/>
    <w:qFormat/>
    <w:uiPriority w:val="0"/>
    <w:rPr>
      <w:b/>
      <w:bCs/>
      <w:kern w:val="2"/>
      <w:sz w:val="21"/>
      <w:szCs w:val="24"/>
    </w:rPr>
  </w:style>
  <w:style w:type="paragraph" w:customStyle="1" w:styleId="42">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43">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4">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Cs w:val="21"/>
    </w:rPr>
  </w:style>
  <w:style w:type="paragraph" w:customStyle="1" w:styleId="45">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Cs w:val="21"/>
    </w:rPr>
  </w:style>
  <w:style w:type="paragraph" w:styleId="46">
    <w:name w:val="List Paragraph"/>
    <w:basedOn w:val="1"/>
    <w:qFormat/>
    <w:uiPriority w:val="99"/>
    <w:pPr>
      <w:ind w:firstLine="420" w:firstLineChars="200"/>
    </w:pPr>
  </w:style>
  <w:style w:type="paragraph" w:customStyle="1" w:styleId="47">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8">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49">
    <w:name w:val="xl64"/>
    <w:basedOn w:val="1"/>
    <w:qFormat/>
    <w:uiPriority w:val="0"/>
    <w:pPr>
      <w:widowControl/>
      <w:spacing w:before="100" w:beforeAutospacing="1" w:after="100" w:afterAutospacing="1"/>
      <w:jc w:val="left"/>
    </w:pPr>
    <w:rPr>
      <w:rFonts w:ascii="宋体" w:hAnsi="宋体" w:cs="宋体"/>
      <w:b/>
      <w:bCs/>
      <w:kern w:val="0"/>
      <w:sz w:val="24"/>
    </w:rPr>
  </w:style>
  <w:style w:type="paragraph" w:customStyle="1" w:styleId="50">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51">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52">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53">
    <w:name w:val="xl70"/>
    <w:basedOn w:val="1"/>
    <w:qFormat/>
    <w:uiPriority w:val="0"/>
    <w:pPr>
      <w:widowControl/>
      <w:spacing w:before="100" w:beforeAutospacing="1" w:after="100" w:afterAutospacing="1"/>
      <w:jc w:val="center"/>
    </w:pPr>
    <w:rPr>
      <w:rFonts w:ascii="宋体" w:hAnsi="宋体" w:cs="宋体"/>
      <w:kern w:val="0"/>
      <w:sz w:val="24"/>
    </w:rPr>
  </w:style>
  <w:style w:type="paragraph" w:customStyle="1" w:styleId="5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5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56">
    <w:name w:val="xl73"/>
    <w:basedOn w:val="1"/>
    <w:qFormat/>
    <w:uiPriority w:val="0"/>
    <w:pPr>
      <w:widowControl/>
      <w:spacing w:before="100" w:beforeAutospacing="1" w:after="100" w:afterAutospacing="1"/>
      <w:jc w:val="left"/>
      <w:textAlignment w:val="center"/>
    </w:pPr>
    <w:rPr>
      <w:rFonts w:ascii="宋体" w:hAnsi="宋体" w:cs="宋体"/>
      <w:kern w:val="0"/>
      <w:sz w:val="20"/>
      <w:szCs w:val="20"/>
    </w:rPr>
  </w:style>
  <w:style w:type="paragraph" w:customStyle="1" w:styleId="57">
    <w:name w:val="xl7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58">
    <w:name w:val="xl7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59">
    <w:name w:val="xl76"/>
    <w:basedOn w:val="1"/>
    <w:qFormat/>
    <w:uiPriority w:val="0"/>
    <w:pPr>
      <w:widowControl/>
      <w:spacing w:before="100" w:beforeAutospacing="1" w:after="100" w:afterAutospacing="1"/>
      <w:jc w:val="left"/>
      <w:textAlignment w:val="center"/>
    </w:pPr>
    <w:rPr>
      <w:rFonts w:ascii="宋体" w:hAnsi="宋体" w:cs="宋体"/>
      <w:kern w:val="0"/>
      <w:sz w:val="24"/>
    </w:rPr>
  </w:style>
  <w:style w:type="paragraph" w:customStyle="1" w:styleId="60">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61">
    <w:name w:val="xl78"/>
    <w:basedOn w:val="1"/>
    <w:qFormat/>
    <w:uiPriority w:val="0"/>
    <w:pPr>
      <w:widowControl/>
      <w:spacing w:before="100" w:beforeAutospacing="1" w:after="100" w:afterAutospacing="1"/>
      <w:jc w:val="center"/>
      <w:textAlignment w:val="center"/>
    </w:pPr>
    <w:rPr>
      <w:rFonts w:ascii="宋体" w:hAnsi="宋体" w:cs="宋体"/>
      <w:kern w:val="0"/>
      <w:sz w:val="20"/>
      <w:szCs w:val="20"/>
    </w:rPr>
  </w:style>
  <w:style w:type="paragraph" w:customStyle="1" w:styleId="6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63">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rPr>
  </w:style>
  <w:style w:type="paragraph" w:customStyle="1" w:styleId="64">
    <w:name w:val="xl8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65">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66">
    <w:name w:val="xl8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67">
    <w:name w:val="xl8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68">
    <w:name w:val="xl8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69">
    <w:name w:val="xl8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70">
    <w:name w:val="xl8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71">
    <w:name w:val="xl8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72">
    <w:name w:val="xl89"/>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73">
    <w:name w:val="xl9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74">
    <w:name w:val="xl9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75">
    <w:name w:val="xl92"/>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76">
    <w:name w:val="xl9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character" w:customStyle="1" w:styleId="77">
    <w:name w:val="标题 Char"/>
    <w:basedOn w:val="29"/>
    <w:link w:val="25"/>
    <w:qFormat/>
    <w:uiPriority w:val="0"/>
    <w:rPr>
      <w:rFonts w:asciiTheme="majorHAnsi" w:hAnsiTheme="majorHAnsi" w:cstheme="majorBidi"/>
      <w:b/>
      <w:bCs/>
      <w:kern w:val="2"/>
      <w:sz w:val="32"/>
      <w:szCs w:val="32"/>
    </w:rPr>
  </w:style>
  <w:style w:type="paragraph" w:customStyle="1" w:styleId="78">
    <w:name w:val="TOC Heading"/>
    <w:basedOn w:val="2"/>
    <w:next w:val="1"/>
    <w:unhideWhenUsed/>
    <w:qFormat/>
    <w:uiPriority w:val="39"/>
    <w:pPr>
      <w:keepLines/>
      <w:widowControl/>
      <w:spacing w:before="240" w:line="259" w:lineRule="auto"/>
      <w:jc w:val="left"/>
      <w:outlineLvl w:val="9"/>
    </w:pPr>
    <w:rPr>
      <w:rFonts w:asciiTheme="majorHAnsi" w:hAnsiTheme="majorHAnsi" w:eastAsiaTheme="majorEastAsia" w:cstheme="majorBidi"/>
      <w:color w:val="376092" w:themeColor="accent1" w:themeShade="BF"/>
      <w:kern w:val="0"/>
      <w:sz w:val="32"/>
      <w:szCs w:val="32"/>
    </w:rPr>
  </w:style>
  <w:style w:type="character" w:customStyle="1" w:styleId="79">
    <w:name w:val="Subtle Reference"/>
    <w:basedOn w:val="29"/>
    <w:qFormat/>
    <w:uiPriority w:val="31"/>
    <w:rPr>
      <w:smallCaps/>
      <w:color w:val="595959" w:themeColor="text1" w:themeTint="A6"/>
      <w14:textFill>
        <w14:solidFill>
          <w14:schemeClr w14:val="tx1">
            <w14:lumMod w14:val="65000"/>
            <w14:lumOff w14:val="35000"/>
          </w14:schemeClr>
        </w14:solidFill>
      </w14:textFill>
    </w:rPr>
  </w:style>
  <w:style w:type="character" w:customStyle="1" w:styleId="80">
    <w:name w:val="副标题 Char"/>
    <w:basedOn w:val="29"/>
    <w:link w:val="19"/>
    <w:qFormat/>
    <w:uiPriority w:val="0"/>
    <w:rPr>
      <w:rFonts w:asciiTheme="majorHAnsi" w:hAnsiTheme="majorHAnsi" w:cstheme="majorBidi"/>
      <w:b/>
      <w:bCs/>
      <w:kern w:val="28"/>
      <w:sz w:val="32"/>
      <w:szCs w:val="32"/>
    </w:rPr>
  </w:style>
  <w:style w:type="paragraph" w:styleId="81">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82">
    <w:name w:val="Subtle Emphasis"/>
    <w:basedOn w:val="29"/>
    <w:qFormat/>
    <w:uiPriority w:val="19"/>
    <w:rPr>
      <w:i/>
      <w:iCs/>
      <w:color w:val="404040" w:themeColor="text1" w:themeTint="BF"/>
      <w14:textFill>
        <w14:solidFill>
          <w14:schemeClr w14:val="tx1">
            <w14:lumMod w14:val="75000"/>
            <w14:lumOff w14:val="25000"/>
          </w14:schemeClr>
        </w14:solidFill>
      </w14:textFill>
    </w:rPr>
  </w:style>
  <w:style w:type="paragraph" w:customStyle="1" w:styleId="83">
    <w:name w:val="一级标题"/>
    <w:basedOn w:val="2"/>
    <w:link w:val="85"/>
    <w:qFormat/>
    <w:uiPriority w:val="0"/>
    <w:rPr>
      <w:rFonts w:eastAsia="宋体"/>
      <w:b/>
      <w:sz w:val="24"/>
    </w:rPr>
  </w:style>
  <w:style w:type="character" w:customStyle="1" w:styleId="84">
    <w:name w:val="标题 1 Char"/>
    <w:basedOn w:val="29"/>
    <w:link w:val="2"/>
    <w:qFormat/>
    <w:uiPriority w:val="0"/>
    <w:rPr>
      <w:rFonts w:eastAsia="幼圆"/>
      <w:kern w:val="2"/>
      <w:sz w:val="28"/>
    </w:rPr>
  </w:style>
  <w:style w:type="character" w:customStyle="1" w:styleId="85">
    <w:name w:val="一级标题 Char"/>
    <w:basedOn w:val="84"/>
    <w:link w:val="83"/>
    <w:qFormat/>
    <w:uiPriority w:val="0"/>
    <w:rPr>
      <w:rFonts w:eastAsia="幼圆"/>
      <w:b/>
      <w:kern w:val="2"/>
      <w:sz w:val="24"/>
    </w:rPr>
  </w:style>
  <w:style w:type="character" w:customStyle="1" w:styleId="86">
    <w:name w:val="正文文本 Char"/>
    <w:basedOn w:val="29"/>
    <w:link w:val="6"/>
    <w:qFormat/>
    <w:uiPriority w:val="0"/>
    <w:rPr>
      <w:kern w:val="2"/>
      <w:sz w:val="21"/>
      <w:szCs w:val="24"/>
    </w:rPr>
  </w:style>
  <w:style w:type="character" w:customStyle="1" w:styleId="87">
    <w:name w:val="纯文本 Char1"/>
    <w:qFormat/>
    <w:uiPriority w:val="0"/>
    <w:rPr>
      <w:rFonts w:ascii="宋体" w:hAnsi="Courier New" w:cs="Courier New"/>
      <w:kern w:val="2"/>
      <w:sz w:val="21"/>
      <w:szCs w:val="21"/>
    </w:rPr>
  </w:style>
  <w:style w:type="character" w:customStyle="1" w:styleId="88">
    <w:name w:val="font51"/>
    <w:basedOn w:val="29"/>
    <w:qFormat/>
    <w:uiPriority w:val="0"/>
    <w:rPr>
      <w:rFonts w:ascii="Arial" w:hAnsi="Arial" w:cs="Arial"/>
      <w:b/>
      <w:bCs/>
      <w:color w:val="000000"/>
      <w:sz w:val="20"/>
      <w:szCs w:val="20"/>
      <w:u w:val="none"/>
    </w:rPr>
  </w:style>
  <w:style w:type="character" w:customStyle="1" w:styleId="89">
    <w:name w:val="font61"/>
    <w:basedOn w:val="29"/>
    <w:qFormat/>
    <w:uiPriority w:val="0"/>
    <w:rPr>
      <w:rFonts w:hint="eastAsia" w:ascii="宋体" w:hAnsi="宋体" w:eastAsia="宋体" w:cs="宋体"/>
      <w:b/>
      <w:bCs/>
      <w:color w:val="000000"/>
      <w:sz w:val="30"/>
      <w:szCs w:val="30"/>
      <w:u w:val="none"/>
    </w:rPr>
  </w:style>
  <w:style w:type="character" w:customStyle="1" w:styleId="90">
    <w:name w:val="font41"/>
    <w:basedOn w:val="29"/>
    <w:qFormat/>
    <w:uiPriority w:val="0"/>
    <w:rPr>
      <w:rFonts w:hint="eastAsia" w:ascii="宋体" w:hAnsi="宋体" w:eastAsia="宋体" w:cs="宋体"/>
      <w:color w:val="000000"/>
      <w:sz w:val="20"/>
      <w:szCs w:val="20"/>
      <w:u w:val="none"/>
    </w:rPr>
  </w:style>
  <w:style w:type="character" w:customStyle="1" w:styleId="91">
    <w:name w:val="font01"/>
    <w:basedOn w:val="29"/>
    <w:qFormat/>
    <w:uiPriority w:val="0"/>
    <w:rPr>
      <w:rFonts w:hint="default" w:ascii="Arial" w:hAnsi="Arial" w:cs="Arial"/>
      <w:color w:val="000000"/>
      <w:sz w:val="20"/>
      <w:szCs w:val="20"/>
      <w:u w:val="none"/>
    </w:rPr>
  </w:style>
  <w:style w:type="paragraph" w:customStyle="1" w:styleId="92">
    <w:name w:val="分类号"/>
    <w:basedOn w:val="1"/>
    <w:qFormat/>
    <w:uiPriority w:val="0"/>
    <w:rPr>
      <w:rFonts w:ascii="仿宋_GB2312" w:eastAsia="仿宋_GB2312"/>
      <w:sz w:val="28"/>
      <w:szCs w:val="28"/>
    </w:rPr>
  </w:style>
  <w:style w:type="paragraph" w:customStyle="1" w:styleId="93">
    <w:name w:val="封面日期"/>
    <w:basedOn w:val="1"/>
    <w:qFormat/>
    <w:uiPriority w:val="0"/>
    <w:pPr>
      <w:jc w:val="center"/>
    </w:pPr>
    <w:rPr>
      <w:rFonts w:ascii="黑体" w:eastAsia="黑体"/>
      <w:sz w:val="32"/>
      <w:szCs w:val="32"/>
    </w:rPr>
  </w:style>
  <w:style w:type="paragraph" w:customStyle="1" w:styleId="94">
    <w:name w:val="论文标题"/>
    <w:basedOn w:val="1"/>
    <w:qFormat/>
    <w:uiPriority w:val="0"/>
    <w:pPr>
      <w:jc w:val="center"/>
    </w:pPr>
    <w:rPr>
      <w:rFonts w:eastAsia="楷体_GB2312"/>
      <w:b/>
      <w:kern w:val="36"/>
      <w:sz w:val="52"/>
      <w:szCs w:val="52"/>
    </w:rPr>
  </w:style>
  <w:style w:type="paragraph" w:customStyle="1" w:styleId="95">
    <w:name w:val="硕士学位论文"/>
    <w:basedOn w:val="1"/>
    <w:qFormat/>
    <w:uiPriority w:val="0"/>
    <w:pPr>
      <w:spacing w:before="240"/>
      <w:jc w:val="center"/>
    </w:pPr>
    <w:rPr>
      <w:sz w:val="44"/>
      <w:szCs w:val="44"/>
    </w:rPr>
  </w:style>
  <w:style w:type="paragraph" w:customStyle="1" w:styleId="96">
    <w:name w:val="研究生姓名"/>
    <w:basedOn w:val="1"/>
    <w:qFormat/>
    <w:uiPriority w:val="0"/>
    <w:pPr>
      <w:ind w:firstLine="700" w:firstLineChars="700"/>
    </w:pPr>
    <w:rPr>
      <w:sz w:val="28"/>
      <w:szCs w:val="28"/>
    </w:rPr>
  </w:style>
  <w:style w:type="paragraph" w:customStyle="1" w:styleId="97">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sectNamePr val="lengthwise1"/>
      <sectRole val="1"/>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A4A032-BDC9-42EF-AE34-AE4F13E26602}">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48</Pages>
  <Words>16898</Words>
  <Characters>18251</Characters>
  <Lines>1</Lines>
  <Paragraphs>1</Paragraphs>
  <TotalTime>0</TotalTime>
  <ScaleCrop>false</ScaleCrop>
  <LinksUpToDate>false</LinksUpToDate>
  <CharactersWithSpaces>18693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2019-12-26T09:26:00Z</dcterms:created>
  <dc:creator>xiaofei li</dc:creator>
  <cp:lastModifiedBy>Administrator</cp:lastModifiedBy>
  <cp:lastPrinted>2024-07-16T02:46:00Z</cp:lastPrinted>
  <dcterms:modified xsi:type="dcterms:W3CDTF">2024-11-04T03:35:13Z</dcterms:modified>
  <dc:title>管理手册目录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1187D9E9366F47069E2086C87ECC88CB_12</vt:lpwstr>
  </property>
</Properties>
</file>