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1CB3DA">
      <w:pPr>
        <w:keepNext w:val="0"/>
        <w:keepLines w:val="0"/>
        <w:widowControl/>
        <w:suppressLineNumbers w:val="0"/>
        <w:jc w:val="center"/>
        <w:rPr>
          <w:rFonts w:hint="eastAsia" w:ascii="微软雅黑" w:hAnsi="微软雅黑" w:eastAsia="微软雅黑" w:cs="微软雅黑"/>
          <w:b/>
          <w:bCs/>
          <w:color w:val="000000"/>
          <w:kern w:val="0"/>
          <w:sz w:val="30"/>
          <w:szCs w:val="30"/>
          <w:lang w:val="en-US" w:eastAsia="zh-CN" w:bidi="ar"/>
        </w:rPr>
      </w:pPr>
      <w:r>
        <w:rPr>
          <w:rFonts w:hint="eastAsia" w:ascii="微软雅黑" w:hAnsi="微软雅黑" w:eastAsia="微软雅黑" w:cs="微软雅黑"/>
          <w:b/>
          <w:bCs/>
          <w:color w:val="000000"/>
          <w:kern w:val="0"/>
          <w:sz w:val="30"/>
          <w:szCs w:val="30"/>
          <w:lang w:val="en-US" w:eastAsia="zh-CN" w:bidi="ar"/>
        </w:rPr>
        <w:t>广东隆达铝业有限公司</w:t>
      </w:r>
    </w:p>
    <w:p w14:paraId="5BC42FD0">
      <w:pPr>
        <w:keepNext w:val="0"/>
        <w:keepLines w:val="0"/>
        <w:widowControl/>
        <w:suppressLineNumbers w:val="0"/>
        <w:jc w:val="center"/>
        <w:rPr>
          <w:rFonts w:hint="eastAsia" w:ascii="微软雅黑" w:hAnsi="微软雅黑" w:eastAsia="微软雅黑" w:cs="微软雅黑"/>
          <w:b/>
          <w:bCs/>
          <w:color w:val="000000"/>
          <w:kern w:val="0"/>
          <w:sz w:val="30"/>
          <w:szCs w:val="30"/>
          <w:lang w:val="en-US" w:eastAsia="zh-CN" w:bidi="ar"/>
        </w:rPr>
      </w:pPr>
      <w:r>
        <w:rPr>
          <w:rFonts w:hint="eastAsia" w:ascii="微软雅黑" w:hAnsi="微软雅黑" w:eastAsia="微软雅黑" w:cs="微软雅黑"/>
          <w:b/>
          <w:bCs/>
          <w:color w:val="000000"/>
          <w:kern w:val="0"/>
          <w:sz w:val="30"/>
          <w:szCs w:val="30"/>
          <w:lang w:val="en-US" w:eastAsia="zh-CN" w:bidi="ar"/>
        </w:rPr>
        <w:t>负责任采购方针</w:t>
      </w:r>
    </w:p>
    <w:p w14:paraId="5FDFD5FF">
      <w:pPr>
        <w:keepNext w:val="0"/>
        <w:keepLines w:val="0"/>
        <w:widowControl/>
        <w:suppressLineNumbers w:val="0"/>
        <w:jc w:val="center"/>
        <w:rPr>
          <w:rFonts w:hint="eastAsia" w:ascii="微软雅黑" w:hAnsi="微软雅黑" w:eastAsia="微软雅黑" w:cs="微软雅黑"/>
          <w:b/>
          <w:bCs/>
          <w:color w:val="000000"/>
          <w:kern w:val="0"/>
          <w:sz w:val="30"/>
          <w:szCs w:val="30"/>
          <w:lang w:val="en-US" w:eastAsia="zh-CN" w:bidi="ar"/>
        </w:rPr>
      </w:pPr>
    </w:p>
    <w:p w14:paraId="01F2EBC0">
      <w:pPr>
        <w:keepNext w:val="0"/>
        <w:keepLines w:val="0"/>
        <w:pageBreakBefore w:val="0"/>
        <w:widowControl/>
        <w:suppressLineNumbers w:val="0"/>
        <w:kinsoku/>
        <w:wordWrap/>
        <w:overflowPunct/>
        <w:topLinePunct w:val="0"/>
        <w:autoSpaceDE/>
        <w:autoSpaceDN/>
        <w:bidi w:val="0"/>
        <w:adjustRightInd/>
        <w:snapToGrid/>
        <w:jc w:val="left"/>
        <w:textAlignment w:val="auto"/>
        <w:rPr>
          <w:b/>
          <w:bCs/>
        </w:rPr>
      </w:pPr>
      <w:r>
        <w:rPr>
          <w:rFonts w:hint="eastAsia" w:ascii="宋体" w:hAnsi="宋体" w:eastAsia="宋体" w:cs="宋体"/>
          <w:b/>
          <w:bCs/>
          <w:color w:val="000000"/>
          <w:kern w:val="0"/>
          <w:sz w:val="28"/>
          <w:szCs w:val="28"/>
          <w:lang w:val="en-US" w:eastAsia="zh-CN" w:bidi="ar"/>
        </w:rPr>
        <w:t xml:space="preserve">一、对于负责任采购公司承诺： </w:t>
      </w:r>
    </w:p>
    <w:p w14:paraId="23AD73D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1、对原铝及再生铝的来源负责； </w:t>
      </w:r>
      <w:bookmarkStart w:id="0" w:name="_GoBack"/>
      <w:bookmarkEnd w:id="0"/>
    </w:p>
    <w:p w14:paraId="7ECD3FF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2、反对采购过程中的一切形式的贿赂、腐败行为； </w:t>
      </w:r>
    </w:p>
    <w:p w14:paraId="4E10115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3、尊重人权及社会责任的运行规则； </w:t>
      </w:r>
    </w:p>
    <w:p w14:paraId="5A49A029">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4、</w:t>
      </w:r>
      <w:r>
        <w:rPr>
          <w:rFonts w:hint="eastAsia" w:ascii="宋体" w:hAnsi="宋体" w:cs="宋体"/>
          <w:sz w:val="28"/>
          <w:szCs w:val="28"/>
        </w:rPr>
        <w:t>提高循环再生材料的使用比例，开发高性价比原料，</w:t>
      </w:r>
      <w:r>
        <w:rPr>
          <w:rFonts w:hint="eastAsia" w:ascii="宋体" w:hAnsi="宋体" w:cs="宋体"/>
          <w:sz w:val="28"/>
          <w:szCs w:val="28"/>
          <w:lang w:val="en-US" w:eastAsia="zh-CN"/>
        </w:rPr>
        <w:t>就近周边资源采购，</w:t>
      </w:r>
      <w:r>
        <w:rPr>
          <w:rFonts w:hint="eastAsia" w:ascii="宋体" w:hAnsi="宋体" w:cs="宋体"/>
          <w:sz w:val="28"/>
          <w:szCs w:val="28"/>
        </w:rPr>
        <w:t>减少原铝使用</w:t>
      </w:r>
      <w:r>
        <w:rPr>
          <w:rFonts w:hint="eastAsia" w:ascii="宋体" w:hAnsi="宋体" w:cs="宋体"/>
          <w:sz w:val="28"/>
          <w:szCs w:val="28"/>
          <w:lang w:eastAsia="zh-CN"/>
        </w:rPr>
        <w:t>；</w:t>
      </w:r>
    </w:p>
    <w:p w14:paraId="7F235C8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Calibri" w:hAnsi="Calibri" w:eastAsia="宋体" w:cs="Calibri"/>
          <w:color w:val="auto"/>
          <w:kern w:val="0"/>
          <w:sz w:val="28"/>
          <w:szCs w:val="28"/>
          <w:lang w:val="en-US" w:eastAsia="zh-CN" w:bidi="ar"/>
        </w:rPr>
      </w:pPr>
      <w:r>
        <w:rPr>
          <w:rFonts w:hint="eastAsia" w:ascii="宋体" w:hAnsi="宋体" w:eastAsia="宋体" w:cs="宋体"/>
          <w:color w:val="auto"/>
          <w:kern w:val="0"/>
          <w:sz w:val="28"/>
          <w:szCs w:val="28"/>
          <w:lang w:val="en-US" w:eastAsia="zh-CN" w:bidi="ar"/>
        </w:rPr>
        <w:t>5、对受冲突影响和高风险地区供应链开展尽职调查并</w:t>
      </w:r>
      <w:r>
        <w:rPr>
          <w:rFonts w:hint="eastAsia" w:ascii="Calibri" w:hAnsi="Calibri" w:eastAsia="宋体" w:cs="Calibri"/>
          <w:color w:val="auto"/>
          <w:kern w:val="0"/>
          <w:sz w:val="28"/>
          <w:szCs w:val="28"/>
          <w:lang w:val="en-US" w:eastAsia="zh-CN" w:bidi="ar"/>
        </w:rPr>
        <w:t>查验原铝和再生铝物料供应链无使用冲突矿产；</w:t>
      </w:r>
    </w:p>
    <w:p w14:paraId="79B0FA84">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6、不对冲突地区或高风险地区的武装冲突或侵犯人权行为提供支持； </w:t>
      </w:r>
    </w:p>
    <w:p w14:paraId="1D55891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7、根据《采购和供应商管理控制程序》要求，使利益相关方能够对铝供应链进行关注。 </w:t>
      </w:r>
    </w:p>
    <w:p w14:paraId="5DEF4097">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ascii="宋体" w:hAnsi="宋体" w:eastAsia="宋体" w:cs="宋体"/>
          <w:b/>
          <w:bCs/>
          <w:i w:val="0"/>
          <w:iCs w:val="0"/>
          <w:color w:val="000000"/>
          <w:kern w:val="0"/>
          <w:sz w:val="28"/>
          <w:szCs w:val="28"/>
          <w:lang w:val="en-US" w:eastAsia="zh-CN" w:bidi="ar"/>
        </w:rPr>
      </w:pPr>
      <w:r>
        <w:rPr>
          <w:rFonts w:hint="eastAsia" w:ascii="宋体" w:hAnsi="宋体" w:eastAsia="宋体" w:cs="宋体"/>
          <w:b/>
          <w:bCs/>
          <w:i w:val="0"/>
          <w:iCs w:val="0"/>
          <w:color w:val="000000"/>
          <w:kern w:val="0"/>
          <w:sz w:val="28"/>
          <w:szCs w:val="28"/>
          <w:lang w:val="en-US" w:eastAsia="zh-CN" w:bidi="ar"/>
        </w:rPr>
        <w:t>二、针对供应商尽职调查的开展公司承诺：</w:t>
      </w:r>
    </w:p>
    <w:p w14:paraId="1424241A">
      <w:pPr>
        <w:keepNext w:val="0"/>
        <w:keepLines w:val="0"/>
        <w:pageBreakBefore w:val="0"/>
        <w:widowControl/>
        <w:suppressLineNumbers w:val="0"/>
        <w:kinsoku/>
        <w:wordWrap/>
        <w:overflowPunct/>
        <w:topLinePunct w:val="0"/>
        <w:autoSpaceDE/>
        <w:autoSpaceDN/>
        <w:bidi w:val="0"/>
        <w:adjustRightInd/>
        <w:snapToGrid/>
        <w:ind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广东隆达铝业有限公司对铝价值链中的供应商做尽职调查及冲突矿产使用情况的调查，如果确定直接供应商行为存在风险或正在违反承诺约定行为，将根据评估级别选择合作方式或进行中断合作： </w:t>
      </w:r>
    </w:p>
    <w:p w14:paraId="3EBFBBD8">
      <w:pPr>
        <w:keepNext w:val="0"/>
        <w:keepLines w:val="0"/>
        <w:pageBreakBefore w:val="0"/>
        <w:widowControl/>
        <w:numPr>
          <w:ilvl w:val="0"/>
          <w:numId w:val="1"/>
        </w:numPr>
        <w:suppressLineNumbers w:val="0"/>
        <w:kinsoku/>
        <w:wordWrap/>
        <w:overflowPunct/>
        <w:topLinePunct w:val="0"/>
        <w:autoSpaceDE/>
        <w:autoSpaceDN/>
        <w:bidi w:val="0"/>
        <w:adjustRightInd/>
        <w:snapToGrid/>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侵犯人权：包括酷刑、残忍、不人道或有辱人格的行为；强迫或强制劳动；最恶劣的童工形式；违反国际人道主义法、危害人类罪或种族灭绝罪； </w:t>
      </w:r>
    </w:p>
    <w:p w14:paraId="45A3A6C9">
      <w:pPr>
        <w:keepNext w:val="0"/>
        <w:keepLines w:val="0"/>
        <w:pageBreakBefore w:val="0"/>
        <w:widowControl/>
        <w:numPr>
          <w:ilvl w:val="0"/>
          <w:numId w:val="1"/>
        </w:numPr>
        <w:suppressLineNumbers w:val="0"/>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贿赂或腐败：包括提供、给予或索取贿赂，特别是支付贿赂给相关人员，以便从铝的提取、贸易、运输或出口中谋求不当利益；</w:t>
      </w:r>
    </w:p>
    <w:p w14:paraId="22E51F3F">
      <w:pPr>
        <w:keepNext w:val="0"/>
        <w:keepLines w:val="0"/>
        <w:pageBreakBefore w:val="0"/>
        <w:widowControl/>
        <w:numPr>
          <w:ilvl w:val="0"/>
          <w:numId w:val="1"/>
        </w:numPr>
        <w:suppressLineNumbers w:val="0"/>
        <w:kinsoku/>
        <w:wordWrap/>
        <w:overflowPunct/>
        <w:topLinePunct w:val="0"/>
        <w:autoSpaceDE/>
        <w:autoSpaceDN/>
        <w:bidi w:val="0"/>
        <w:adjustRightInd/>
        <w:snapToGrid/>
        <w:ind w:left="0" w:leftChars="0" w:firstLine="0" w:firstLineChars="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直接或间接支持任何非国家武装集团，非法控制矿点或运输路线， 或在采购、运输等方面勒索钱财。 </w:t>
      </w:r>
    </w:p>
    <w:p w14:paraId="29B901BE">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本方针向全体员工及其他利益相关者公开，自发布之日起实施。希望各供应商共同遵守；本公司有权对各供应商制定审核计划，按计 划进行包括生产场所和相关记录的审核。必要时与员工进行面谈，以确保行为准则确实得到有效贯彻。对严重违反行为准则要求的，需要立即采取补救措施；对拒不改正或极度违反行为准则要求的，本公司将中止合作。</w:t>
      </w:r>
    </w:p>
    <w:p w14:paraId="090C11C1">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firstLine="560" w:firstLineChars="200"/>
        <w:jc w:val="left"/>
        <w:textAlignment w:val="auto"/>
        <w:rPr>
          <w:rFonts w:hint="eastAsia" w:ascii="宋体" w:hAnsi="宋体" w:eastAsia="宋体" w:cs="宋体"/>
          <w:color w:val="auto"/>
          <w:kern w:val="0"/>
          <w:sz w:val="28"/>
          <w:szCs w:val="28"/>
          <w:lang w:val="en-US" w:eastAsia="zh-CN" w:bidi="ar"/>
        </w:rPr>
      </w:pPr>
    </w:p>
    <w:p w14:paraId="3FC8DC99">
      <w:pPr>
        <w:keepNext w:val="0"/>
        <w:keepLines w:val="0"/>
        <w:pageBreakBefore w:val="0"/>
        <w:widowControl/>
        <w:numPr>
          <w:ilvl w:val="0"/>
          <w:numId w:val="0"/>
        </w:numPr>
        <w:suppressLineNumbers w:val="0"/>
        <w:kinsoku/>
        <w:wordWrap/>
        <w:overflowPunct/>
        <w:topLinePunct w:val="0"/>
        <w:autoSpaceDE/>
        <w:autoSpaceDN/>
        <w:bidi w:val="0"/>
        <w:adjustRightInd/>
        <w:snapToGrid/>
        <w:jc w:val="left"/>
        <w:textAlignment w:val="auto"/>
        <w:rPr>
          <w:rFonts w:hint="eastAsia" w:ascii="宋体" w:hAnsi="宋体" w:eastAsia="宋体" w:cs="宋体"/>
          <w:b/>
          <w:bCs/>
          <w:color w:val="auto"/>
          <w:kern w:val="0"/>
          <w:sz w:val="28"/>
          <w:szCs w:val="28"/>
          <w:lang w:val="en-US" w:eastAsia="zh-CN" w:bidi="ar"/>
        </w:rPr>
      </w:pPr>
      <w:r>
        <w:rPr>
          <w:rFonts w:hint="eastAsia" w:ascii="宋体" w:hAnsi="宋体" w:eastAsia="宋体" w:cs="宋体"/>
          <w:b/>
          <w:bCs/>
          <w:color w:val="auto"/>
          <w:kern w:val="0"/>
          <w:sz w:val="28"/>
          <w:szCs w:val="28"/>
          <w:lang w:val="en-US" w:eastAsia="zh-CN" w:bidi="ar"/>
        </w:rPr>
        <w:t>广东隆达投诉和申诉方式</w:t>
      </w:r>
      <w:r>
        <w:rPr>
          <w:rFonts w:hint="default" w:ascii="宋体" w:hAnsi="宋体" w:eastAsia="宋体" w:cs="宋体"/>
          <w:b/>
          <w:bCs/>
          <w:color w:val="auto"/>
          <w:kern w:val="0"/>
          <w:sz w:val="28"/>
          <w:szCs w:val="28"/>
          <w:lang w:val="en-US" w:eastAsia="zh-CN" w:bidi="ar"/>
        </w:rPr>
        <w:t>/</w:t>
      </w:r>
      <w:r>
        <w:rPr>
          <w:rFonts w:hint="eastAsia" w:ascii="宋体" w:hAnsi="宋体" w:eastAsia="宋体" w:cs="宋体"/>
          <w:b/>
          <w:bCs/>
          <w:color w:val="auto"/>
          <w:kern w:val="0"/>
          <w:sz w:val="28"/>
          <w:szCs w:val="28"/>
          <w:lang w:val="en-US" w:eastAsia="zh-CN" w:bidi="ar"/>
        </w:rPr>
        <w:t>渠道：</w:t>
      </w:r>
    </w:p>
    <w:p w14:paraId="7B80887A">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举报热线:0763-6896239</w:t>
      </w:r>
    </w:p>
    <w:p w14:paraId="17573F0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 xml:space="preserve">举报邮箱:gdguanli@longdalvye.com </w:t>
      </w:r>
    </w:p>
    <w:p w14:paraId="190FC17D">
      <w:pPr>
        <w:rPr>
          <w:sz w:val="28"/>
          <w:szCs w:val="28"/>
        </w:rPr>
      </w:pPr>
    </w:p>
    <w:p w14:paraId="23161B22">
      <w:pPr>
        <w:jc w:val="center"/>
        <w:rPr>
          <w:rFonts w:hint="eastAsia"/>
          <w:sz w:val="28"/>
          <w:szCs w:val="28"/>
          <w:lang w:val="en-US" w:eastAsia="zh-CN"/>
        </w:rPr>
      </w:pPr>
    </w:p>
    <w:p w14:paraId="739027F0">
      <w:pPr>
        <w:jc w:val="center"/>
        <w:rPr>
          <w:rFonts w:hint="default"/>
          <w:sz w:val="28"/>
          <w:szCs w:val="28"/>
          <w:lang w:val="en-US" w:eastAsia="zh-CN"/>
        </w:rPr>
      </w:pPr>
      <w:r>
        <w:rPr>
          <w:rFonts w:hint="eastAsia"/>
          <w:sz w:val="28"/>
          <w:szCs w:val="28"/>
          <w:lang w:val="en-US" w:eastAsia="zh-CN"/>
        </w:rPr>
        <w:t xml:space="preserve">                                       广东隆达铝业有限公司</w:t>
      </w:r>
    </w:p>
    <w:p w14:paraId="21CE19F3">
      <w:pPr>
        <w:jc w:val="center"/>
        <w:rPr>
          <w:rFonts w:hint="default"/>
          <w:sz w:val="28"/>
          <w:szCs w:val="28"/>
          <w:lang w:val="en-US" w:eastAsia="zh-CN"/>
        </w:rPr>
      </w:pPr>
      <w:r>
        <w:rPr>
          <w:rFonts w:hint="eastAsia"/>
          <w:sz w:val="28"/>
          <w:szCs w:val="28"/>
          <w:lang w:val="en-US" w:eastAsia="zh-CN"/>
        </w:rPr>
        <w:t xml:space="preserve">                                             2024年1月1日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37098">
    <w:pPr>
      <w:pStyle w:val="3"/>
      <w:jc w:val="left"/>
      <w:rPr>
        <w:rFonts w:hint="default" w:eastAsiaTheme="minorEastAsia"/>
        <w:lang w:val="en-US" w:eastAsia="zh-CN"/>
      </w:rPr>
    </w:pPr>
    <w:r>
      <w:rPr>
        <w:rFonts w:hint="eastAsia"/>
        <w:sz w:val="21"/>
        <w:szCs w:val="21"/>
        <w:lang w:val="en-US" w:eastAsia="zh-CN"/>
      </w:rPr>
      <w:drawing>
        <wp:anchor distT="0" distB="0" distL="114300" distR="114300" simplePos="0" relativeHeight="251659264" behindDoc="0" locked="0" layoutInCell="1" allowOverlap="1">
          <wp:simplePos x="0" y="0"/>
          <wp:positionH relativeFrom="column">
            <wp:posOffset>-744855</wp:posOffset>
          </wp:positionH>
          <wp:positionV relativeFrom="paragraph">
            <wp:posOffset>-249555</wp:posOffset>
          </wp:positionV>
          <wp:extent cx="1045210" cy="282575"/>
          <wp:effectExtent l="0" t="0" r="6350" b="6985"/>
          <wp:wrapNone/>
          <wp:docPr id="3" name="图片 3" descr="（新）隆达铝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新）隆达铝业logo"/>
                  <pic:cNvPicPr>
                    <a:picLocks noChangeAspect="1"/>
                  </pic:cNvPicPr>
                </pic:nvPicPr>
                <pic:blipFill>
                  <a:blip r:embed="rId1"/>
                  <a:stretch>
                    <a:fillRect/>
                  </a:stretch>
                </pic:blipFill>
                <pic:spPr>
                  <a:xfrm>
                    <a:off x="0" y="0"/>
                    <a:ext cx="1045210" cy="282575"/>
                  </a:xfrm>
                  <a:prstGeom prst="rect">
                    <a:avLst/>
                  </a:prstGeom>
                </pic:spPr>
              </pic:pic>
            </a:graphicData>
          </a:graphic>
        </wp:anchor>
      </w:drawing>
    </w:r>
    <w:r>
      <w:rPr>
        <w:rFonts w:hint="eastAsia"/>
      </w:rPr>
      <w:t>附件三</w:t>
    </w:r>
    <w:r>
      <w:rPr>
        <w:rFonts w:hint="eastAsia"/>
        <w:lang w:val="en-US" w:eastAsia="zh-CN"/>
      </w:rPr>
      <w:t xml:space="preserve">                                                      AO版             保存期限：3年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43148A"/>
    <w:multiLevelType w:val="singleLevel"/>
    <w:tmpl w:val="4543148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YjM2MjZhYWQxNDkxYWRkNzk2M2Y1MjlkOGViMGEifQ=="/>
  </w:docVars>
  <w:rsids>
    <w:rsidRoot w:val="3C2F3440"/>
    <w:rsid w:val="072916E2"/>
    <w:rsid w:val="097C2243"/>
    <w:rsid w:val="0DEF6A4E"/>
    <w:rsid w:val="0F6637C0"/>
    <w:rsid w:val="11DB4E33"/>
    <w:rsid w:val="16193160"/>
    <w:rsid w:val="17043230"/>
    <w:rsid w:val="28CE5D36"/>
    <w:rsid w:val="36D240DF"/>
    <w:rsid w:val="37354535"/>
    <w:rsid w:val="3C2F3440"/>
    <w:rsid w:val="40AE7F87"/>
    <w:rsid w:val="40ED2C2B"/>
    <w:rsid w:val="441127DB"/>
    <w:rsid w:val="48253225"/>
    <w:rsid w:val="4E604FB7"/>
    <w:rsid w:val="50AE3090"/>
    <w:rsid w:val="520C4C53"/>
    <w:rsid w:val="5A113887"/>
    <w:rsid w:val="5CE30FCD"/>
    <w:rsid w:val="5D753EAF"/>
    <w:rsid w:val="63957059"/>
    <w:rsid w:val="651959DA"/>
    <w:rsid w:val="658A05B5"/>
    <w:rsid w:val="70482F68"/>
    <w:rsid w:val="7ADB75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706</Words>
  <Characters>744</Characters>
  <Lines>0</Lines>
  <Paragraphs>0</Paragraphs>
  <TotalTime>1</TotalTime>
  <ScaleCrop>false</ScaleCrop>
  <LinksUpToDate>false</LinksUpToDate>
  <CharactersWithSpaces>840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2024-07-18T08:26:00Z</dcterms:created>
  <dc:creator>Administrator</dc:creator>
  <cp:lastModifiedBy>Administrator</cp:lastModifiedBy>
  <dcterms:modified xsi:type="dcterms:W3CDTF">2024-11-01T06:38:01Z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22A3767C05E14713B96CD15B0C6D37CA_11</vt:lpwstr>
  </property>
</Properties>
</file>